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76D19" w14:textId="77777777" w:rsidR="00D457B1" w:rsidRPr="004E5A48" w:rsidRDefault="00000000" w:rsidP="00AE1E9E">
      <w:pPr>
        <w:spacing w:after="60" w:line="276" w:lineRule="auto"/>
        <w:jc w:val="center"/>
        <w:rPr>
          <w:rFonts w:ascii="Arial Narrow" w:hAnsi="Arial Narrow"/>
          <w:b/>
          <w:bCs/>
          <w:color w:val="12358C"/>
          <w:sz w:val="40"/>
          <w:szCs w:val="40"/>
          <w:lang w:val="en-US"/>
        </w:rPr>
      </w:pPr>
      <w:r w:rsidRPr="004E5A48">
        <w:rPr>
          <w:b/>
          <w:bCs/>
          <w:color w:val="12358C"/>
          <w:sz w:val="40"/>
          <w:szCs w:val="40"/>
          <w:lang w:val="en-US"/>
        </w:rPr>
        <w:t>Informality: The State of the Art. No. 2</w:t>
      </w:r>
    </w:p>
    <w:p w14:paraId="7BA13BA9" w14:textId="77777777" w:rsidR="00D66EEE" w:rsidRPr="004E5A48" w:rsidRDefault="00D66EEE" w:rsidP="004A5EFE">
      <w:pPr>
        <w:spacing w:after="60" w:line="276" w:lineRule="auto"/>
        <w:jc w:val="both"/>
        <w:rPr>
          <w:rFonts w:ascii="Arial Nova Cond" w:hAnsi="Arial Nova Cond"/>
          <w:b/>
          <w:bCs/>
          <w:lang w:val="en-US"/>
        </w:rPr>
      </w:pPr>
    </w:p>
    <w:p w14:paraId="737AAB97" w14:textId="77777777" w:rsidR="004F5F26" w:rsidRPr="004E5A48" w:rsidRDefault="00000000" w:rsidP="00AE1E9E">
      <w:pPr>
        <w:spacing w:after="60" w:line="276" w:lineRule="auto"/>
        <w:jc w:val="center"/>
        <w:rPr>
          <w:rFonts w:ascii="Arial Narrow" w:hAnsi="Arial Narrow"/>
          <w:b/>
          <w:bCs/>
          <w:color w:val="8C52FF"/>
          <w:sz w:val="72"/>
          <w:szCs w:val="72"/>
          <w:lang w:val="en-US"/>
        </w:rPr>
      </w:pPr>
      <w:r w:rsidRPr="004E5A48">
        <w:rPr>
          <w:b/>
          <w:bCs/>
          <w:color w:val="8C52FF"/>
          <w:sz w:val="28"/>
          <w:szCs w:val="36"/>
          <w:lang w:val="en-US"/>
        </w:rPr>
        <w:t>Digitalization and Hybrid Informality: A State-of-the-Art Review of Transformation, Measurement and Governance in the Digital Economy</w:t>
      </w:r>
    </w:p>
    <w:p w14:paraId="4415C0F5" w14:textId="77777777" w:rsidR="00420C45" w:rsidRPr="004E5A48" w:rsidRDefault="00000000" w:rsidP="00AE1E9E">
      <w:pPr>
        <w:spacing w:after="60" w:line="276" w:lineRule="auto"/>
        <w:jc w:val="right"/>
        <w:rPr>
          <w:rFonts w:ascii="Arial Narrow" w:hAnsi="Arial Narrow"/>
          <w:i/>
          <w:iCs/>
          <w:sz w:val="28"/>
          <w:szCs w:val="28"/>
        </w:rPr>
      </w:pPr>
      <w:r w:rsidRPr="004E5A48">
        <w:t>Santos M. Ruesga, Universidad Autónoma de Madrid</w:t>
      </w:r>
    </w:p>
    <w:p w14:paraId="11984FA6" w14:textId="77777777" w:rsidR="00884073" w:rsidRPr="004E5A48" w:rsidRDefault="00000000" w:rsidP="00234339">
      <w:pPr>
        <w:spacing w:after="60" w:line="276" w:lineRule="auto"/>
        <w:jc w:val="center"/>
        <w:rPr>
          <w:rFonts w:ascii="Arial Narrow" w:hAnsi="Arial Narrow"/>
          <w:i/>
          <w:sz w:val="28"/>
          <w:szCs w:val="28"/>
        </w:rPr>
      </w:pPr>
      <w:r w:rsidRPr="004E5A48">
        <w:rPr>
          <w:noProof/>
        </w:rPr>
        <w:drawing>
          <wp:inline distT="0" distB="0" distL="0" distR="0" wp14:anchorId="09F0F906" wp14:editId="7C8E0822">
            <wp:extent cx="5090725" cy="5073650"/>
            <wp:effectExtent l="0" t="0" r="0" b="0"/>
            <wp:docPr id="8245965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96543" name="drawing"/>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116145" cy="5098985"/>
                    </a:xfrm>
                    <a:prstGeom prst="rect">
                      <a:avLst/>
                    </a:prstGeom>
                  </pic:spPr>
                </pic:pic>
              </a:graphicData>
            </a:graphic>
          </wp:inline>
        </w:drawing>
      </w:r>
    </w:p>
    <w:p w14:paraId="1B344236" w14:textId="77777777" w:rsidR="004F5F26" w:rsidRPr="004E5A48" w:rsidRDefault="00000000" w:rsidP="004A5EFE">
      <w:pPr>
        <w:shd w:val="clear" w:color="auto" w:fill="12358E"/>
        <w:spacing w:after="60" w:line="276" w:lineRule="auto"/>
        <w:jc w:val="both"/>
        <w:rPr>
          <w:rFonts w:ascii="Arial Nova Cond" w:hAnsi="Arial Nova Cond"/>
          <w:b/>
          <w:bCs/>
          <w:sz w:val="24"/>
          <w:lang w:val="en-US"/>
        </w:rPr>
      </w:pPr>
      <w:r w:rsidRPr="004E5A48">
        <w:rPr>
          <w:rFonts w:ascii="Arial Nova Cond" w:hAnsi="Arial Nova Cond"/>
          <w:sz w:val="24"/>
          <w:lang w:val="en-US"/>
        </w:rPr>
        <w:t>ABSTRACT</w:t>
      </w:r>
    </w:p>
    <w:p w14:paraId="3EDCE038"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 xml:space="preserve">The rapid diffusion of digital technologies is reshaping economic activities worldwide and generating profound implications for the informal economy. While earlier debates on informality focused on structural transformation, labour-market segmentation, and institutional weaknesses, recent technological developments have introduced new forms of work, entrepreneurship, and governance that challenge traditional distinctions between formal and informal economic activities. This article reviews the emerging literature on the </w:t>
      </w:r>
      <w:r w:rsidRPr="004E5A48">
        <w:rPr>
          <w:rFonts w:ascii="Arial Nova Cond" w:hAnsi="Arial Nova Cond"/>
          <w:sz w:val="24"/>
          <w:lang w:val="en-US"/>
        </w:rPr>
        <w:lastRenderedPageBreak/>
        <w:t xml:space="preserve">relationship between digitalization and informality, with particular attention to digital labour platforms, fintech, artificial intelligence, e-government systems, and digital identification technologies. Drawing on scholarship from development economics, labour economics, economic sociology, and public policy, the review synthesizes evidence on three interconnected dimensions: the transformation of informal economic activities, the measurement of informality in the digital age, and the governance mechanisms developed to regulate digitally mediated economic activities. The article argues that digitalization is not simply reducing or reproducing informality. Rather, it is generating a new regime of hybrid informality characterized by increased digital visibility, partial integration into formal institutions, and persistent exclusion from labour protections and social protection systems. This concept is proposed as a potentially useful analytical framework for examining contemporary forms of platform work, online entrepreneurship, and digitally mediated self-employment; its comparative advantages over alternative frameworks remain </w:t>
      </w:r>
      <w:r w:rsidR="00D40C43" w:rsidRPr="004E5A48">
        <w:rPr>
          <w:rFonts w:ascii="Arial Nova Cond" w:hAnsi="Arial Nova Cond"/>
          <w:sz w:val="24"/>
          <w:lang w:val="en-US"/>
        </w:rPr>
        <w:t>e</w:t>
      </w:r>
      <w:r w:rsidRPr="004E5A48">
        <w:rPr>
          <w:rFonts w:ascii="Arial Nova Cond" w:hAnsi="Arial Nova Cond"/>
          <w:sz w:val="24"/>
          <w:lang w:val="en-US"/>
        </w:rPr>
        <w:t>mpirically established. The review concludes by identifying major research gaps and proposing an integrated research agenda for the study of informality in the digital economy.</w:t>
      </w:r>
    </w:p>
    <w:p w14:paraId="3A928C93"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Keywords: informal economy; digitalization; platform work; hybrid informality; formalization; digital governance; platform economy; labour markets.</w:t>
      </w:r>
    </w:p>
    <w:p w14:paraId="2327C124" w14:textId="77777777" w:rsidR="004F5F26" w:rsidRPr="004E5A48" w:rsidRDefault="004F5F26" w:rsidP="004A5EFE">
      <w:pPr>
        <w:spacing w:after="60" w:line="276" w:lineRule="auto"/>
        <w:jc w:val="both"/>
        <w:rPr>
          <w:rFonts w:ascii="Arial Nova Cond" w:hAnsi="Arial Nova Cond"/>
          <w:sz w:val="24"/>
          <w:lang w:val="en-US"/>
        </w:rPr>
      </w:pPr>
    </w:p>
    <w:p w14:paraId="47293E78" w14:textId="77777777" w:rsidR="004F5F26" w:rsidRPr="004E5A48" w:rsidRDefault="00000000" w:rsidP="004A5EFE">
      <w:pPr>
        <w:pStyle w:val="Ttulo1"/>
        <w:rPr>
          <w:rFonts w:ascii="Arial Nova Cond" w:hAnsi="Arial Nova Cond"/>
          <w:sz w:val="24"/>
          <w:szCs w:val="24"/>
        </w:rPr>
      </w:pPr>
      <w:r w:rsidRPr="004E5A48">
        <w:rPr>
          <w:rFonts w:ascii="Arial Nova Cond" w:hAnsi="Arial Nova Cond"/>
          <w:sz w:val="24"/>
          <w:szCs w:val="24"/>
        </w:rPr>
        <w:t>1. Introduction</w:t>
      </w:r>
    </w:p>
    <w:p w14:paraId="144E6ADF"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 informal economy remains one of the defining characteristics of contemporary labour markets. Despite decades of economic growth, industrialization, and institutional development, informal employment continues to account for a substantial share of global employment. According to the International Labour Organization (ILO, 2018), approximately 61.2 per cent of the world's employed population is engaged in informal employment, with particularly high concentrations in low- and middle-income countries. Informality remains central to income generation, employment creation, and economic survival for hundreds of millions of workers and enterprises.</w:t>
      </w:r>
    </w:p>
    <w:p w14:paraId="1F66A85B"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 xml:space="preserve">For much of the twentieth century, debates concerning informality were largely framed around questions of economic development and structural transformation. Early modernization theories viewed informality as a transitional phenomenon that would gradually disappear as economies industrialized and formal employment expanded (Lewis, 1954). However, subsequent research demonstrated that informality persisted even in contexts characterized by sustained economic growth, urbanization, and increasing integration into global markets (Portes &amp; Haller, 2005; Portes </w:t>
      </w:r>
      <w:r w:rsidR="00DD49EF" w:rsidRPr="004E5A48">
        <w:rPr>
          <w:rFonts w:ascii="Arial Nova Cond" w:hAnsi="Arial Nova Cond"/>
          <w:sz w:val="24"/>
          <w:lang w:val="en-US"/>
        </w:rPr>
        <w:t>et al</w:t>
      </w:r>
      <w:r w:rsidR="002B2F10" w:rsidRPr="004E5A48">
        <w:rPr>
          <w:rFonts w:ascii="Arial Nova Cond" w:hAnsi="Arial Nova Cond"/>
          <w:sz w:val="24"/>
          <w:lang w:val="en-US"/>
        </w:rPr>
        <w:t>.</w:t>
      </w:r>
      <w:r w:rsidRPr="004E5A48">
        <w:rPr>
          <w:rFonts w:ascii="Arial Nova Cond" w:hAnsi="Arial Nova Cond"/>
          <w:sz w:val="24"/>
          <w:lang w:val="en-US"/>
        </w:rPr>
        <w:t xml:space="preserve">, </w:t>
      </w:r>
      <w:r w:rsidR="002B2F10" w:rsidRPr="004E5A48">
        <w:rPr>
          <w:rFonts w:ascii="Arial Nova Cond" w:hAnsi="Arial Nova Cond"/>
          <w:sz w:val="24"/>
          <w:lang w:val="en-US"/>
        </w:rPr>
        <w:t>edits</w:t>
      </w:r>
      <w:r w:rsidR="00517EAB" w:rsidRPr="004E5A48">
        <w:rPr>
          <w:rFonts w:ascii="Arial Nova Cond" w:hAnsi="Arial Nova Cond"/>
          <w:sz w:val="24"/>
          <w:lang w:val="en-US"/>
        </w:rPr>
        <w:t xml:space="preserve">., </w:t>
      </w:r>
      <w:r w:rsidRPr="004E5A48">
        <w:rPr>
          <w:rFonts w:ascii="Arial Nova Cond" w:hAnsi="Arial Nova Cond"/>
          <w:sz w:val="24"/>
          <w:lang w:val="en-US"/>
        </w:rPr>
        <w:t>1989; Chen, 2012; Williams, 2014). Rather than representing a residual sector destined to disappear, informality emerged as a structural feature of contemporary capitalism.</w:t>
      </w:r>
    </w:p>
    <w:p w14:paraId="40557F81"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lastRenderedPageBreak/>
        <w:t xml:space="preserve">Over the past decade, digital platforms, mobile payments, digital government and data-intensive technologies have altered how work is organized, transactions are recorded, and institutions regulate economic activity (World Bank, 2019; UNCTAD, 2021). These developments can facilitate registration and access to services while also producing highly visible forms of work that remain weakly protected (Berg et al., 2018; Wood et al., 2019; ILO, 2021). This mismatch between visibility, institutional integration and protection motivates the concept of hybrid informality: digitally visible activity that is partially integrated into formal institutions but retains significant regulatory or social-protection deficits. The concept is proposed as an analytical framework, not as a demonstrated improvement </w:t>
      </w:r>
      <w:r w:rsidR="00EF0D92" w:rsidRPr="004E5A48">
        <w:rPr>
          <w:rFonts w:ascii="Arial Nova Cond" w:hAnsi="Arial Nova Cond"/>
          <w:sz w:val="24"/>
          <w:lang w:val="en-US"/>
        </w:rPr>
        <w:t>over existing multidimensional approach</w:t>
      </w:r>
      <w:r w:rsidRPr="004E5A48">
        <w:rPr>
          <w:rFonts w:ascii="Arial Nova Cond" w:hAnsi="Arial Nova Cond"/>
          <w:sz w:val="24"/>
          <w:lang w:val="en-US"/>
        </w:rPr>
        <w:t>es.</w:t>
      </w:r>
    </w:p>
    <w:p w14:paraId="2B09468A"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 review asks: How is digitalization reshaping informal economic activities through hybrid forms of work, entrepreneurship, measurement and governance? It addresses this question by integrating evidence on transformation, measurement and regulation and by assessing where the evidence supports the hybrid-informality framework and where claims remain provisional.</w:t>
      </w:r>
    </w:p>
    <w:p w14:paraId="1DE3EB56" w14:textId="77777777" w:rsidR="004F5F26" w:rsidRPr="004E5A48" w:rsidRDefault="00000000" w:rsidP="004A5EFE">
      <w:pPr>
        <w:pStyle w:val="Ttulo1"/>
        <w:rPr>
          <w:rFonts w:ascii="Arial Nova Cond" w:hAnsi="Arial Nova Cond"/>
          <w:sz w:val="24"/>
          <w:szCs w:val="24"/>
        </w:rPr>
      </w:pPr>
      <w:r w:rsidRPr="004E5A48">
        <w:rPr>
          <w:rFonts w:ascii="Arial Nova Cond" w:hAnsi="Arial Nova Cond"/>
          <w:sz w:val="24"/>
          <w:szCs w:val="24"/>
        </w:rPr>
        <w:t>2. Method</w:t>
      </w:r>
    </w:p>
    <w:p w14:paraId="4BC7F57E"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 xml:space="preserve">This study uses a narrative state-of-the-art review suited to an emerging, multidisciplinary field (Baumeister &amp; Leary, 1997; Snyder, 2019). The audited retained bibliography contains 46 publications (1954–2025), with emphasis on post-2020 research and earlier foundational work. </w:t>
      </w:r>
      <w:r w:rsidR="00785EE6" w:rsidRPr="004E5A48">
        <w:rPr>
          <w:rFonts w:ascii="Arial Nova Cond" w:hAnsi="Arial Nova Cond"/>
          <w:sz w:val="24"/>
          <w:lang w:val="en-US"/>
        </w:rPr>
        <w:t xml:space="preserve">All 46 retained publications constituted the analytical corpus used for the structured synthesis; no separate set of retained publications was used solely for contextual, theoretical, or methodological support. </w:t>
      </w:r>
      <w:r w:rsidRPr="004E5A48">
        <w:rPr>
          <w:rFonts w:ascii="Arial Nova Cond" w:hAnsi="Arial Nova Cond"/>
          <w:sz w:val="24"/>
          <w:lang w:val="en-US"/>
        </w:rPr>
        <w:t>Targeted iterative searches combined terms related to informality with digitalization, platform work, fintech, digital identity, e-government, electronic invoicing, algorithmic management, AI, blockchain, formalization, and measurement. Sources were retained when they contributed empirical evidence, comparative analysis, statistical guidance, or a directly relevant theoretical mechanism. Because a complete contemporaneous search log was not preserved, the review does not claim systematic-review reproducibility or reconstruct PRISMA-style retrieval counts.</w:t>
      </w:r>
    </w:p>
    <w:p w14:paraId="5121C5E7"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The analytical corpus was synthesized across three dimensions—transformation, measurement, and governance—and coded by technology, context, design, evidence type, findings, and implications for hybrid informality. Evidentiary strength was classified qualitatively as strong, moderate, or limited according to breadth, directness, and replication of support for each synthesis claim; this is not a formal risk-of-bias score.</w:t>
      </w:r>
    </w:p>
    <w:p w14:paraId="17B214AC"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 xml:space="preserve">The main limitations are the absence of a complete contemporaneous search log, the heterogeneity of definitions and methods, the concentration of empirical studies in platform </w:t>
      </w:r>
      <w:r w:rsidRPr="004E5A48">
        <w:rPr>
          <w:rFonts w:ascii="Arial Nova Cond" w:hAnsi="Arial Nova Cond"/>
          <w:sz w:val="24"/>
          <w:lang w:val="en-US"/>
        </w:rPr>
        <w:lastRenderedPageBreak/>
        <w:t>work, and the limited availability of longitudinal and causal designs. These constraints are considered explicitly when grading evidentiary strength.</w:t>
      </w:r>
    </w:p>
    <w:p w14:paraId="25CFD796"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Because the review was developed as an iterative narrative state-of-the-art review, a complete contemporaneous search log was not preserved. Exact database-specific retrieval totals, duplicate counts, and exclusion counts therefore cannot be reconstructed reliably. The review consequently reports only procedures and corpus characteristics that can be verified from the retained record and does not claim PRISMA-style reproducibility.</w:t>
      </w:r>
    </w:p>
    <w:p w14:paraId="318E6BD0" w14:textId="77777777" w:rsidR="00D4673F"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To strengthen analytical transparency, publications in the analytical corpus were compared through a structured synthesis matrix covering transformation, measurement and governance; technology and context; research design; evidence type; principal findings; implications for hybrid informality; and evidentiary strength. Table 1 condenses this matrix, while Table 1A evaluates the strength of support for the principal synthesis claims. Tables and figures distinguish source-reported findings from author-developed analytical constructions. Whenever ordinal descriptors (e.g., high, moderate, low, advanced, limited) are used, the accompanying source note states the operational meaning of the category and whether it represents evidentiary strength, institutional development, or an illustrative analytical classification.</w:t>
      </w:r>
    </w:p>
    <w:p w14:paraId="3FCAC7A1" w14:textId="77777777" w:rsidR="00D4673F" w:rsidRPr="004E5A48" w:rsidRDefault="00000000" w:rsidP="004A5EFE">
      <w:pPr>
        <w:spacing w:after="0" w:line="240" w:lineRule="auto"/>
        <w:jc w:val="both"/>
        <w:rPr>
          <w:rFonts w:ascii="Arial Nova Cond" w:hAnsi="Arial Nova Cond"/>
          <w:b/>
          <w:bCs/>
          <w:color w:val="8C52FF"/>
          <w:sz w:val="24"/>
          <w:lang w:val="en-US"/>
        </w:rPr>
      </w:pPr>
      <w:r w:rsidRPr="004E5A48">
        <w:rPr>
          <w:rFonts w:ascii="Arial Nova Cond" w:hAnsi="Arial Nova Cond"/>
          <w:b/>
          <w:bCs/>
          <w:sz w:val="24"/>
          <w:lang w:val="en-US"/>
        </w:rPr>
        <w:t>Table 1.</w:t>
      </w:r>
      <w:r w:rsidRPr="004E5A48">
        <w:rPr>
          <w:rFonts w:ascii="Arial Nova Cond" w:hAnsi="Arial Nova Cond"/>
          <w:sz w:val="24"/>
          <w:lang w:val="en-US"/>
        </w:rPr>
        <w:t xml:space="preserve"> Main Contributions of the Literature on Digitalization and Informality</w:t>
      </w:r>
    </w:p>
    <w:tbl>
      <w:tblPr>
        <w:tblW w:w="0" w:type="auto"/>
        <w:tblBorders>
          <w:top w:val="double" w:sz="4" w:space="0" w:color="8C52FF"/>
          <w:left w:val="double" w:sz="4" w:space="0" w:color="8C52FF"/>
          <w:bottom w:val="double" w:sz="4" w:space="0" w:color="8C52FF"/>
          <w:right w:val="double" w:sz="4" w:space="0" w:color="8C52FF"/>
          <w:insideH w:val="double" w:sz="4" w:space="0" w:color="8C52FF"/>
          <w:insideV w:val="double" w:sz="4" w:space="0" w:color="8C52FF"/>
        </w:tblBorders>
        <w:tblLook w:val="04A0" w:firstRow="1" w:lastRow="0" w:firstColumn="1" w:lastColumn="0" w:noHBand="0" w:noVBand="1"/>
      </w:tblPr>
      <w:tblGrid>
        <w:gridCol w:w="973"/>
        <w:gridCol w:w="596"/>
        <w:gridCol w:w="1257"/>
        <w:gridCol w:w="1201"/>
        <w:gridCol w:w="1262"/>
        <w:gridCol w:w="1880"/>
        <w:gridCol w:w="1639"/>
      </w:tblGrid>
      <w:tr w:rsidR="009D79B0" w:rsidRPr="004E5A48" w14:paraId="12D19ED7" w14:textId="77777777" w:rsidTr="00AE1E9E">
        <w:tc>
          <w:tcPr>
            <w:tcW w:w="1263" w:type="dxa"/>
            <w:vAlign w:val="center"/>
          </w:tcPr>
          <w:p w14:paraId="615946C0"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Author(s)</w:t>
            </w:r>
          </w:p>
        </w:tc>
        <w:tc>
          <w:tcPr>
            <w:tcW w:w="1263" w:type="dxa"/>
            <w:vAlign w:val="center"/>
          </w:tcPr>
          <w:p w14:paraId="38FC16BB"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Year</w:t>
            </w:r>
          </w:p>
        </w:tc>
        <w:tc>
          <w:tcPr>
            <w:tcW w:w="1263" w:type="dxa"/>
            <w:vAlign w:val="center"/>
          </w:tcPr>
          <w:p w14:paraId="3A00DBC0"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Main Topic</w:t>
            </w:r>
          </w:p>
        </w:tc>
        <w:tc>
          <w:tcPr>
            <w:tcW w:w="1263" w:type="dxa"/>
            <w:vAlign w:val="center"/>
          </w:tcPr>
          <w:p w14:paraId="4DFB2A18"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Methodology</w:t>
            </w:r>
          </w:p>
        </w:tc>
        <w:tc>
          <w:tcPr>
            <w:tcW w:w="1263" w:type="dxa"/>
            <w:vAlign w:val="center"/>
          </w:tcPr>
          <w:p w14:paraId="378AB04A"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Main Findings</w:t>
            </w:r>
          </w:p>
        </w:tc>
        <w:tc>
          <w:tcPr>
            <w:tcW w:w="1263" w:type="dxa"/>
            <w:vAlign w:val="center"/>
          </w:tcPr>
          <w:p w14:paraId="5E99CAFE"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Type of Evidence</w:t>
            </w:r>
          </w:p>
        </w:tc>
        <w:tc>
          <w:tcPr>
            <w:tcW w:w="1263" w:type="dxa"/>
            <w:vAlign w:val="center"/>
          </w:tcPr>
          <w:p w14:paraId="4D0D5062"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Strength of Evidence</w:t>
            </w:r>
          </w:p>
        </w:tc>
      </w:tr>
      <w:tr w:rsidR="009D79B0" w:rsidRPr="004E5A48" w14:paraId="7EBD3DEE" w14:textId="77777777" w:rsidTr="00AE1E9E">
        <w:tc>
          <w:tcPr>
            <w:tcW w:w="1263" w:type="dxa"/>
            <w:vAlign w:val="center"/>
          </w:tcPr>
          <w:p w14:paraId="0EC74C6A"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Berg et al.</w:t>
            </w:r>
          </w:p>
        </w:tc>
        <w:tc>
          <w:tcPr>
            <w:tcW w:w="1263" w:type="dxa"/>
            <w:vAlign w:val="center"/>
          </w:tcPr>
          <w:p w14:paraId="0ECB3BBA"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2018</w:t>
            </w:r>
          </w:p>
        </w:tc>
        <w:tc>
          <w:tcPr>
            <w:tcW w:w="1263" w:type="dxa"/>
            <w:vAlign w:val="center"/>
          </w:tcPr>
          <w:p w14:paraId="25BF1169"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Platform work</w:t>
            </w:r>
          </w:p>
        </w:tc>
        <w:tc>
          <w:tcPr>
            <w:tcW w:w="1263" w:type="dxa"/>
            <w:vAlign w:val="center"/>
          </w:tcPr>
          <w:p w14:paraId="2E0B9D85"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Global review</w:t>
            </w:r>
          </w:p>
        </w:tc>
        <w:tc>
          <w:tcPr>
            <w:tcW w:w="1263" w:type="dxa"/>
            <w:vAlign w:val="center"/>
          </w:tcPr>
          <w:p w14:paraId="0EA6CFE3"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Platforms create opportunities but weaken labour protections</w:t>
            </w:r>
          </w:p>
        </w:tc>
        <w:tc>
          <w:tcPr>
            <w:tcW w:w="1263" w:type="dxa"/>
            <w:vAlign w:val="center"/>
          </w:tcPr>
          <w:p w14:paraId="3081DF67"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Comparative empirical/global survey evidence</w:t>
            </w:r>
          </w:p>
        </w:tc>
        <w:tc>
          <w:tcPr>
            <w:tcW w:w="1263" w:type="dxa"/>
            <w:vAlign w:val="center"/>
          </w:tcPr>
          <w:p w14:paraId="01644525"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Strong</w:t>
            </w:r>
          </w:p>
        </w:tc>
      </w:tr>
      <w:tr w:rsidR="009D79B0" w:rsidRPr="004E5A48" w14:paraId="1B5222B3" w14:textId="77777777" w:rsidTr="00AE1E9E">
        <w:tc>
          <w:tcPr>
            <w:tcW w:w="1263" w:type="dxa"/>
            <w:vAlign w:val="center"/>
          </w:tcPr>
          <w:p w14:paraId="3CFDDB15"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Wood et al.</w:t>
            </w:r>
          </w:p>
        </w:tc>
        <w:tc>
          <w:tcPr>
            <w:tcW w:w="1263" w:type="dxa"/>
            <w:vAlign w:val="center"/>
          </w:tcPr>
          <w:p w14:paraId="71CA912A"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2019</w:t>
            </w:r>
          </w:p>
        </w:tc>
        <w:tc>
          <w:tcPr>
            <w:tcW w:w="1263" w:type="dxa"/>
            <w:vAlign w:val="center"/>
          </w:tcPr>
          <w:p w14:paraId="032FDE9D"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Gig economy</w:t>
            </w:r>
          </w:p>
        </w:tc>
        <w:tc>
          <w:tcPr>
            <w:tcW w:w="1263" w:type="dxa"/>
            <w:vAlign w:val="center"/>
          </w:tcPr>
          <w:p w14:paraId="5E7BE54E"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Qualitative interviews</w:t>
            </w:r>
          </w:p>
        </w:tc>
        <w:tc>
          <w:tcPr>
            <w:tcW w:w="1263" w:type="dxa"/>
            <w:vAlign w:val="center"/>
          </w:tcPr>
          <w:p w14:paraId="5218CAFD"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Algorithmic control generates new vulnerabilities</w:t>
            </w:r>
          </w:p>
        </w:tc>
        <w:tc>
          <w:tcPr>
            <w:tcW w:w="1263" w:type="dxa"/>
            <w:vAlign w:val="center"/>
          </w:tcPr>
          <w:p w14:paraId="1C301ABD"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Primary qualitative evidence (interviews)</w:t>
            </w:r>
          </w:p>
        </w:tc>
        <w:tc>
          <w:tcPr>
            <w:tcW w:w="1263" w:type="dxa"/>
            <w:vAlign w:val="center"/>
          </w:tcPr>
          <w:p w14:paraId="7C7E7B6E"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Strong</w:t>
            </w:r>
          </w:p>
        </w:tc>
      </w:tr>
      <w:tr w:rsidR="009D79B0" w:rsidRPr="004E5A48" w14:paraId="5F9480B7" w14:textId="77777777" w:rsidTr="00AE1E9E">
        <w:tc>
          <w:tcPr>
            <w:tcW w:w="1263" w:type="dxa"/>
            <w:vAlign w:val="center"/>
          </w:tcPr>
          <w:p w14:paraId="3909EAB2"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Medina &amp; Schneider</w:t>
            </w:r>
          </w:p>
        </w:tc>
        <w:tc>
          <w:tcPr>
            <w:tcW w:w="1263" w:type="dxa"/>
            <w:vAlign w:val="center"/>
          </w:tcPr>
          <w:p w14:paraId="4C7D74F2"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2019</w:t>
            </w:r>
          </w:p>
        </w:tc>
        <w:tc>
          <w:tcPr>
            <w:tcW w:w="1263" w:type="dxa"/>
            <w:vAlign w:val="center"/>
          </w:tcPr>
          <w:p w14:paraId="03FC504B"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Shadow economy measurement</w:t>
            </w:r>
          </w:p>
        </w:tc>
        <w:tc>
          <w:tcPr>
            <w:tcW w:w="1263" w:type="dxa"/>
            <w:vAlign w:val="center"/>
          </w:tcPr>
          <w:p w14:paraId="01A101B3"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Econometric estimation</w:t>
            </w:r>
          </w:p>
        </w:tc>
        <w:tc>
          <w:tcPr>
            <w:tcW w:w="1263" w:type="dxa"/>
            <w:vAlign w:val="center"/>
          </w:tcPr>
          <w:p w14:paraId="18CAE933"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Informality remains substantial globally</w:t>
            </w:r>
          </w:p>
        </w:tc>
        <w:tc>
          <w:tcPr>
            <w:tcW w:w="1263" w:type="dxa"/>
            <w:vAlign w:val="center"/>
          </w:tcPr>
          <w:p w14:paraId="3B6113B5"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Cross-country macroeconomic estimates</w:t>
            </w:r>
          </w:p>
        </w:tc>
        <w:tc>
          <w:tcPr>
            <w:tcW w:w="1263" w:type="dxa"/>
            <w:vAlign w:val="center"/>
          </w:tcPr>
          <w:p w14:paraId="163DE55B"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Moderate</w:t>
            </w:r>
          </w:p>
        </w:tc>
      </w:tr>
      <w:tr w:rsidR="009D79B0" w:rsidRPr="004E5A48" w14:paraId="696AE9FB" w14:textId="77777777" w:rsidTr="00AE1E9E">
        <w:tc>
          <w:tcPr>
            <w:tcW w:w="1263" w:type="dxa"/>
            <w:vAlign w:val="center"/>
          </w:tcPr>
          <w:p w14:paraId="5F1AD035"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Heeks</w:t>
            </w:r>
          </w:p>
        </w:tc>
        <w:tc>
          <w:tcPr>
            <w:tcW w:w="1263" w:type="dxa"/>
            <w:vAlign w:val="center"/>
          </w:tcPr>
          <w:p w14:paraId="22B27864"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2021</w:t>
            </w:r>
          </w:p>
        </w:tc>
        <w:tc>
          <w:tcPr>
            <w:tcW w:w="1263" w:type="dxa"/>
            <w:vAlign w:val="center"/>
          </w:tcPr>
          <w:p w14:paraId="33C166D3"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Digital labour markets</w:t>
            </w:r>
          </w:p>
        </w:tc>
        <w:tc>
          <w:tcPr>
            <w:tcW w:w="1263" w:type="dxa"/>
            <w:vAlign w:val="center"/>
          </w:tcPr>
          <w:p w14:paraId="1D9285F8"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Conceptual review</w:t>
            </w:r>
          </w:p>
        </w:tc>
        <w:tc>
          <w:tcPr>
            <w:tcW w:w="1263" w:type="dxa"/>
            <w:vAlign w:val="center"/>
          </w:tcPr>
          <w:p w14:paraId="192A425A"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Digitalization transforms labour-</w:t>
            </w:r>
            <w:r w:rsidRPr="004E5A48">
              <w:rPr>
                <w:rFonts w:ascii="Arial Nova Cond" w:hAnsi="Arial Nova Cond"/>
                <w:sz w:val="22"/>
                <w:szCs w:val="22"/>
                <w:lang w:val="en-US"/>
              </w:rPr>
              <w:lastRenderedPageBreak/>
              <w:t>market structures</w:t>
            </w:r>
          </w:p>
        </w:tc>
        <w:tc>
          <w:tcPr>
            <w:tcW w:w="1263" w:type="dxa"/>
            <w:vAlign w:val="center"/>
          </w:tcPr>
          <w:p w14:paraId="05404693"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lastRenderedPageBreak/>
              <w:t>Conceptual/secondary synthesis</w:t>
            </w:r>
          </w:p>
        </w:tc>
        <w:tc>
          <w:tcPr>
            <w:tcW w:w="1263" w:type="dxa"/>
            <w:vAlign w:val="center"/>
          </w:tcPr>
          <w:p w14:paraId="0DE01AA5"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Limited/conceptual</w:t>
            </w:r>
          </w:p>
        </w:tc>
      </w:tr>
      <w:tr w:rsidR="009D79B0" w:rsidRPr="004E5A48" w14:paraId="76939881" w14:textId="77777777" w:rsidTr="00AE1E9E">
        <w:tc>
          <w:tcPr>
            <w:tcW w:w="1263" w:type="dxa"/>
            <w:vAlign w:val="center"/>
          </w:tcPr>
          <w:p w14:paraId="459F2B4F"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ILO</w:t>
            </w:r>
          </w:p>
        </w:tc>
        <w:tc>
          <w:tcPr>
            <w:tcW w:w="1263" w:type="dxa"/>
            <w:vAlign w:val="center"/>
          </w:tcPr>
          <w:p w14:paraId="064D4979"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2021</w:t>
            </w:r>
          </w:p>
        </w:tc>
        <w:tc>
          <w:tcPr>
            <w:tcW w:w="1263" w:type="dxa"/>
            <w:vAlign w:val="center"/>
          </w:tcPr>
          <w:p w14:paraId="5E085D47"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Platform economy</w:t>
            </w:r>
          </w:p>
        </w:tc>
        <w:tc>
          <w:tcPr>
            <w:tcW w:w="1263" w:type="dxa"/>
            <w:vAlign w:val="center"/>
          </w:tcPr>
          <w:p w14:paraId="01EF6116"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Global report</w:t>
            </w:r>
          </w:p>
        </w:tc>
        <w:tc>
          <w:tcPr>
            <w:tcW w:w="1263" w:type="dxa"/>
            <w:vAlign w:val="center"/>
          </w:tcPr>
          <w:p w14:paraId="576C38DF"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Platform work challenges existing labour institutions</w:t>
            </w:r>
          </w:p>
        </w:tc>
        <w:tc>
          <w:tcPr>
            <w:tcW w:w="1263" w:type="dxa"/>
            <w:vAlign w:val="center"/>
          </w:tcPr>
          <w:p w14:paraId="6DCE9F79"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Global institutional report; comparative evidence</w:t>
            </w:r>
          </w:p>
        </w:tc>
        <w:tc>
          <w:tcPr>
            <w:tcW w:w="1263" w:type="dxa"/>
            <w:vAlign w:val="center"/>
          </w:tcPr>
          <w:p w14:paraId="2AC8DB58"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Strong</w:t>
            </w:r>
          </w:p>
        </w:tc>
      </w:tr>
      <w:tr w:rsidR="009D79B0" w:rsidRPr="004E5A48" w14:paraId="4F796FBA" w14:textId="77777777" w:rsidTr="00AE1E9E">
        <w:tc>
          <w:tcPr>
            <w:tcW w:w="1263" w:type="dxa"/>
            <w:vAlign w:val="center"/>
          </w:tcPr>
          <w:p w14:paraId="174E8F64"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OECD-ILO-EU</w:t>
            </w:r>
          </w:p>
        </w:tc>
        <w:tc>
          <w:tcPr>
            <w:tcW w:w="1263" w:type="dxa"/>
            <w:vAlign w:val="center"/>
          </w:tcPr>
          <w:p w14:paraId="3BDFB2FD"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2023</w:t>
            </w:r>
          </w:p>
        </w:tc>
        <w:tc>
          <w:tcPr>
            <w:tcW w:w="1263" w:type="dxa"/>
            <w:vAlign w:val="center"/>
          </w:tcPr>
          <w:p w14:paraId="0FE26E94"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Measurement</w:t>
            </w:r>
          </w:p>
        </w:tc>
        <w:tc>
          <w:tcPr>
            <w:tcW w:w="1263" w:type="dxa"/>
            <w:vAlign w:val="center"/>
          </w:tcPr>
          <w:p w14:paraId="7CB8CEFF"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Statistical handbook</w:t>
            </w:r>
          </w:p>
        </w:tc>
        <w:tc>
          <w:tcPr>
            <w:tcW w:w="1263" w:type="dxa"/>
            <w:vAlign w:val="center"/>
          </w:tcPr>
          <w:p w14:paraId="58EA056C"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New methods required for digital work</w:t>
            </w:r>
          </w:p>
        </w:tc>
        <w:tc>
          <w:tcPr>
            <w:tcW w:w="1263" w:type="dxa"/>
            <w:vAlign w:val="center"/>
          </w:tcPr>
          <w:p w14:paraId="24DED295"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Statistical and methodological guidance</w:t>
            </w:r>
          </w:p>
        </w:tc>
        <w:tc>
          <w:tcPr>
            <w:tcW w:w="1263" w:type="dxa"/>
            <w:vAlign w:val="center"/>
          </w:tcPr>
          <w:p w14:paraId="13416983"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Strong</w:t>
            </w:r>
          </w:p>
        </w:tc>
      </w:tr>
      <w:tr w:rsidR="009D79B0" w:rsidRPr="004E5A48" w14:paraId="41FD58E1" w14:textId="77777777" w:rsidTr="00AE1E9E">
        <w:tc>
          <w:tcPr>
            <w:tcW w:w="1263" w:type="dxa"/>
            <w:vAlign w:val="center"/>
          </w:tcPr>
          <w:p w14:paraId="00C001B3"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Cook &amp; Rani</w:t>
            </w:r>
          </w:p>
        </w:tc>
        <w:tc>
          <w:tcPr>
            <w:tcW w:w="1263" w:type="dxa"/>
            <w:vAlign w:val="center"/>
          </w:tcPr>
          <w:p w14:paraId="610DDC4F"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2023</w:t>
            </w:r>
          </w:p>
        </w:tc>
        <w:tc>
          <w:tcPr>
            <w:tcW w:w="1263" w:type="dxa"/>
            <w:vAlign w:val="center"/>
          </w:tcPr>
          <w:p w14:paraId="6BC9A9F3"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Platform work in developing countries</w:t>
            </w:r>
          </w:p>
        </w:tc>
        <w:tc>
          <w:tcPr>
            <w:tcW w:w="1263" w:type="dxa"/>
            <w:vAlign w:val="center"/>
          </w:tcPr>
          <w:p w14:paraId="3289C01F"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Comparative analysis</w:t>
            </w:r>
          </w:p>
        </w:tc>
        <w:tc>
          <w:tcPr>
            <w:tcW w:w="1263" w:type="dxa"/>
            <w:vAlign w:val="center"/>
          </w:tcPr>
          <w:p w14:paraId="699C2E04"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Digitalization creates hybrid labour arrangements</w:t>
            </w:r>
          </w:p>
        </w:tc>
        <w:tc>
          <w:tcPr>
            <w:tcW w:w="1263" w:type="dxa"/>
            <w:vAlign w:val="center"/>
          </w:tcPr>
          <w:p w14:paraId="279E379B"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Comparative secondary empirical evidence</w:t>
            </w:r>
          </w:p>
        </w:tc>
        <w:tc>
          <w:tcPr>
            <w:tcW w:w="1263" w:type="dxa"/>
            <w:vAlign w:val="center"/>
          </w:tcPr>
          <w:p w14:paraId="7BC7FB37"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Moderate</w:t>
            </w:r>
          </w:p>
        </w:tc>
      </w:tr>
      <w:tr w:rsidR="009D79B0" w:rsidRPr="004E5A48" w14:paraId="1E8BD3C6" w14:textId="77777777" w:rsidTr="00AE1E9E">
        <w:tc>
          <w:tcPr>
            <w:tcW w:w="1263" w:type="dxa"/>
            <w:vAlign w:val="center"/>
          </w:tcPr>
          <w:p w14:paraId="2F4778CB"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Williams</w:t>
            </w:r>
          </w:p>
        </w:tc>
        <w:tc>
          <w:tcPr>
            <w:tcW w:w="1263" w:type="dxa"/>
            <w:vAlign w:val="center"/>
          </w:tcPr>
          <w:p w14:paraId="63F1E168"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2023</w:t>
            </w:r>
          </w:p>
        </w:tc>
        <w:tc>
          <w:tcPr>
            <w:tcW w:w="1263" w:type="dxa"/>
            <w:vAlign w:val="center"/>
          </w:tcPr>
          <w:p w14:paraId="51612E91"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E-government and formalization</w:t>
            </w:r>
          </w:p>
        </w:tc>
        <w:tc>
          <w:tcPr>
            <w:tcW w:w="1263" w:type="dxa"/>
            <w:vAlign w:val="center"/>
          </w:tcPr>
          <w:p w14:paraId="18445E13"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Policy analysis</w:t>
            </w:r>
          </w:p>
        </w:tc>
        <w:tc>
          <w:tcPr>
            <w:tcW w:w="1263" w:type="dxa"/>
            <w:vAlign w:val="center"/>
          </w:tcPr>
          <w:p w14:paraId="11D9B9E0"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Digital governance can facilitate formalization</w:t>
            </w:r>
          </w:p>
        </w:tc>
        <w:tc>
          <w:tcPr>
            <w:tcW w:w="1263" w:type="dxa"/>
            <w:vAlign w:val="center"/>
          </w:tcPr>
          <w:p w14:paraId="68BC77FA"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Policy and institutional analysis</w:t>
            </w:r>
          </w:p>
        </w:tc>
        <w:tc>
          <w:tcPr>
            <w:tcW w:w="1263" w:type="dxa"/>
            <w:vAlign w:val="center"/>
          </w:tcPr>
          <w:p w14:paraId="2153951A"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Moderate</w:t>
            </w:r>
          </w:p>
        </w:tc>
      </w:tr>
      <w:tr w:rsidR="009D79B0" w:rsidRPr="004E5A48" w14:paraId="25D407E9" w14:textId="77777777" w:rsidTr="00AE1E9E">
        <w:tc>
          <w:tcPr>
            <w:tcW w:w="1263" w:type="dxa"/>
            <w:vAlign w:val="center"/>
          </w:tcPr>
          <w:p w14:paraId="754817C9" w14:textId="77777777" w:rsidR="00116328" w:rsidRPr="004E5A48" w:rsidRDefault="00000000" w:rsidP="00AE1E9E">
            <w:pPr>
              <w:spacing w:after="0" w:line="240" w:lineRule="auto"/>
              <w:rPr>
                <w:rFonts w:ascii="Arial Nova Cond" w:hAnsi="Arial Nova Cond"/>
                <w:sz w:val="22"/>
                <w:szCs w:val="22"/>
              </w:rPr>
            </w:pPr>
            <w:r w:rsidRPr="004E5A48">
              <w:rPr>
                <w:rFonts w:ascii="Arial Nova Cond" w:hAnsi="Arial Nova Cond"/>
                <w:sz w:val="22"/>
                <w:szCs w:val="22"/>
              </w:rPr>
              <w:t>Maiti &amp; Khari</w:t>
            </w:r>
          </w:p>
        </w:tc>
        <w:tc>
          <w:tcPr>
            <w:tcW w:w="1263" w:type="dxa"/>
            <w:vAlign w:val="center"/>
          </w:tcPr>
          <w:p w14:paraId="69C57773"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2025</w:t>
            </w:r>
          </w:p>
        </w:tc>
        <w:tc>
          <w:tcPr>
            <w:tcW w:w="1263" w:type="dxa"/>
            <w:vAlign w:val="center"/>
          </w:tcPr>
          <w:p w14:paraId="57845350"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Digital governance</w:t>
            </w:r>
          </w:p>
        </w:tc>
        <w:tc>
          <w:tcPr>
            <w:tcW w:w="1263" w:type="dxa"/>
            <w:vAlign w:val="center"/>
          </w:tcPr>
          <w:p w14:paraId="0A7D0A6B" w14:textId="77777777" w:rsidR="00116328" w:rsidRPr="004E5A48" w:rsidRDefault="00000000" w:rsidP="00AE1E9E">
            <w:pPr>
              <w:spacing w:after="0" w:line="240" w:lineRule="auto"/>
              <w:rPr>
                <w:rFonts w:ascii="Arial Nova Cond" w:hAnsi="Arial Nova Cond"/>
                <w:sz w:val="22"/>
                <w:szCs w:val="22"/>
              </w:rPr>
            </w:pPr>
            <w:r w:rsidRPr="004E5A48">
              <w:rPr>
                <w:rFonts w:ascii="Arial Nova Cond" w:hAnsi="Arial Nova Cond"/>
                <w:sz w:val="22"/>
                <w:szCs w:val="22"/>
              </w:rPr>
              <w:t>Cross-country panel analysis</w:t>
            </w:r>
          </w:p>
        </w:tc>
        <w:tc>
          <w:tcPr>
            <w:tcW w:w="1263" w:type="dxa"/>
            <w:vAlign w:val="center"/>
          </w:tcPr>
          <w:p w14:paraId="7A0562FD" w14:textId="77777777" w:rsidR="009D41F7" w:rsidRPr="004E5A48" w:rsidRDefault="00000000" w:rsidP="00AE1E9E">
            <w:pPr>
              <w:spacing w:after="0" w:line="240" w:lineRule="auto"/>
              <w:jc w:val="both"/>
              <w:rPr>
                <w:rFonts w:ascii="Arial Nova Cond" w:hAnsi="Arial Nova Cond"/>
                <w:sz w:val="22"/>
                <w:szCs w:val="22"/>
                <w:lang w:val="en-US"/>
              </w:rPr>
            </w:pPr>
            <w:r w:rsidRPr="004E5A48">
              <w:rPr>
                <w:rFonts w:ascii="Arial Nova Cond" w:hAnsi="Arial Nova Cond"/>
                <w:sz w:val="22"/>
                <w:szCs w:val="22"/>
                <w:lang w:val="en-US"/>
              </w:rPr>
              <w:t>Governance quality conditions formalization outcomes</w:t>
            </w:r>
          </w:p>
        </w:tc>
        <w:tc>
          <w:tcPr>
            <w:tcW w:w="1263" w:type="dxa"/>
            <w:vAlign w:val="center"/>
          </w:tcPr>
          <w:p w14:paraId="3BB385FC" w14:textId="77777777" w:rsidR="00116328" w:rsidRPr="004E5A48" w:rsidRDefault="00000000" w:rsidP="00AE1E9E">
            <w:pPr>
              <w:spacing w:after="0" w:line="240" w:lineRule="auto"/>
              <w:rPr>
                <w:rFonts w:ascii="Arial Nova Cond" w:hAnsi="Arial Nova Cond"/>
                <w:sz w:val="22"/>
                <w:szCs w:val="22"/>
                <w:lang w:val="en-US"/>
              </w:rPr>
            </w:pPr>
            <w:r w:rsidRPr="004E5A48">
              <w:rPr>
                <w:rFonts w:ascii="Arial Nova Cond" w:hAnsi="Arial Nova Cond"/>
                <w:sz w:val="22"/>
                <w:szCs w:val="22"/>
                <w:lang w:val="en-US"/>
              </w:rPr>
              <w:t>Comparative cross-country empirical evidence</w:t>
            </w:r>
          </w:p>
        </w:tc>
        <w:tc>
          <w:tcPr>
            <w:tcW w:w="1263" w:type="dxa"/>
            <w:vAlign w:val="center"/>
          </w:tcPr>
          <w:p w14:paraId="7127FAF9" w14:textId="77777777" w:rsidR="009D41F7" w:rsidRPr="004E5A48" w:rsidRDefault="00000000" w:rsidP="00AE1E9E">
            <w:pPr>
              <w:spacing w:after="0" w:line="240" w:lineRule="auto"/>
              <w:jc w:val="both"/>
              <w:rPr>
                <w:rFonts w:ascii="Arial Nova Cond" w:hAnsi="Arial Nova Cond"/>
                <w:sz w:val="22"/>
                <w:szCs w:val="22"/>
              </w:rPr>
            </w:pPr>
            <w:r w:rsidRPr="004E5A48">
              <w:rPr>
                <w:rFonts w:ascii="Arial Nova Cond" w:hAnsi="Arial Nova Cond"/>
                <w:sz w:val="22"/>
                <w:szCs w:val="22"/>
              </w:rPr>
              <w:t>Moderate</w:t>
            </w:r>
          </w:p>
        </w:tc>
      </w:tr>
    </w:tbl>
    <w:p w14:paraId="52404D63" w14:textId="77777777" w:rsidR="00BC64F7" w:rsidRPr="004E5A48" w:rsidRDefault="00000000" w:rsidP="004A5EFE">
      <w:pPr>
        <w:spacing w:after="240" w:line="240" w:lineRule="auto"/>
        <w:jc w:val="both"/>
        <w:rPr>
          <w:rFonts w:ascii="Arial Nova Cond" w:hAnsi="Arial Nova Cond"/>
          <w:sz w:val="20"/>
          <w:szCs w:val="20"/>
          <w:lang w:val="en-US"/>
        </w:rPr>
      </w:pPr>
      <w:r w:rsidRPr="004E5A48">
        <w:rPr>
          <w:rFonts w:ascii="Arial Nova Cond" w:hAnsi="Arial Nova Cond"/>
          <w:sz w:val="20"/>
          <w:szCs w:val="20"/>
          <w:lang w:val="en-US"/>
        </w:rPr>
        <w:t xml:space="preserve">Source: Author’s structured synthesis of Berg et al. (2018), Medina </w:t>
      </w:r>
      <w:r w:rsidR="005F3EAA" w:rsidRPr="004E5A48">
        <w:rPr>
          <w:rFonts w:ascii="Arial Nova Cond" w:hAnsi="Arial Nova Cond"/>
          <w:sz w:val="20"/>
          <w:szCs w:val="20"/>
          <w:lang w:val="en-US"/>
        </w:rPr>
        <w:t>&amp;</w:t>
      </w:r>
      <w:r w:rsidRPr="004E5A48">
        <w:rPr>
          <w:rFonts w:ascii="Arial Nova Cond" w:hAnsi="Arial Nova Cond"/>
          <w:sz w:val="20"/>
          <w:szCs w:val="20"/>
          <w:lang w:val="en-US"/>
        </w:rPr>
        <w:t xml:space="preserve"> Schneider (2019), Heeks (2021), ILO (2021), OECD, ILO</w:t>
      </w:r>
      <w:r w:rsidR="00873FED" w:rsidRPr="004E5A48">
        <w:rPr>
          <w:rFonts w:ascii="Arial Nova Cond" w:hAnsi="Arial Nova Cond"/>
          <w:sz w:val="20"/>
          <w:szCs w:val="20"/>
          <w:lang w:val="en-US"/>
        </w:rPr>
        <w:t xml:space="preserve"> &amp;</w:t>
      </w:r>
      <w:r w:rsidRPr="004E5A48">
        <w:rPr>
          <w:rFonts w:ascii="Arial Nova Cond" w:hAnsi="Arial Nova Cond"/>
          <w:sz w:val="20"/>
          <w:szCs w:val="20"/>
          <w:lang w:val="en-US"/>
        </w:rPr>
        <w:t xml:space="preserve"> European Union (2023), Cook </w:t>
      </w:r>
      <w:r w:rsidR="007A167A" w:rsidRPr="004E5A48">
        <w:rPr>
          <w:rFonts w:ascii="Arial Nova Cond" w:hAnsi="Arial Nova Cond"/>
          <w:sz w:val="20"/>
          <w:szCs w:val="20"/>
          <w:lang w:val="en-US"/>
        </w:rPr>
        <w:t>&amp;</w:t>
      </w:r>
      <w:r w:rsidRPr="004E5A48">
        <w:rPr>
          <w:rFonts w:ascii="Arial Nova Cond" w:hAnsi="Arial Nova Cond"/>
          <w:sz w:val="20"/>
          <w:szCs w:val="20"/>
          <w:lang w:val="en-US"/>
        </w:rPr>
        <w:t xml:space="preserve"> Rani (2023), Williams (2023), and Maiti </w:t>
      </w:r>
      <w:r w:rsidR="00873FED" w:rsidRPr="004E5A48">
        <w:rPr>
          <w:rFonts w:ascii="Arial Nova Cond" w:hAnsi="Arial Nova Cond"/>
          <w:sz w:val="20"/>
          <w:szCs w:val="20"/>
          <w:lang w:val="en-US"/>
        </w:rPr>
        <w:t>&amp;</w:t>
      </w:r>
      <w:r w:rsidRPr="004E5A48">
        <w:rPr>
          <w:rFonts w:ascii="Arial Nova Cond" w:hAnsi="Arial Nova Cond"/>
          <w:sz w:val="20"/>
          <w:szCs w:val="20"/>
          <w:lang w:val="en-US"/>
        </w:rPr>
        <w:t xml:space="preserve"> Khari (2025). “Strength of evidence” is an author-assigned synthesis category, not a rating reported by the cited studies. Strong = direct support from multiple empirical or comparative sources and/or authoritative measurement evidence with convergence across settings; Moderate = relevant empirical or institutional support but with limited comparability, coverage, causal identification, or replication; Limited/conceptual = mainly conceptual, prospective, case-specific, or otherwise insufficiently replicated evidence.</w:t>
      </w:r>
    </w:p>
    <w:p w14:paraId="07E59D58" w14:textId="77777777" w:rsidR="009D41F7" w:rsidRPr="004E5A48" w:rsidRDefault="00000000" w:rsidP="004A5EFE">
      <w:pPr>
        <w:jc w:val="both"/>
        <w:rPr>
          <w:rFonts w:ascii="Arial Nova Cond" w:hAnsi="Arial Nova Cond"/>
          <w:sz w:val="24"/>
          <w:lang w:val="en-US"/>
        </w:rPr>
      </w:pPr>
      <w:r w:rsidRPr="004E5A48">
        <w:rPr>
          <w:rFonts w:ascii="Arial Nova Cond" w:hAnsi="Arial Nova Cond"/>
          <w:b/>
          <w:bCs/>
          <w:sz w:val="24"/>
          <w:lang w:val="en-US"/>
        </w:rPr>
        <w:t xml:space="preserve">Table </w:t>
      </w:r>
      <w:r w:rsidR="00AE1E9E" w:rsidRPr="004E5A48">
        <w:rPr>
          <w:rFonts w:ascii="Arial Nova Cond" w:hAnsi="Arial Nova Cond"/>
          <w:b/>
          <w:bCs/>
          <w:sz w:val="24"/>
          <w:lang w:val="en-US"/>
        </w:rPr>
        <w:t>2</w:t>
      </w:r>
      <w:r w:rsidRPr="004E5A48">
        <w:rPr>
          <w:rFonts w:ascii="Arial Nova Cond" w:hAnsi="Arial Nova Cond"/>
          <w:sz w:val="24"/>
          <w:lang w:val="en-US"/>
        </w:rPr>
        <w:t>. Strength of Evidence for the Principal Synthesis Claims</w:t>
      </w:r>
    </w:p>
    <w:tbl>
      <w:tblPr>
        <w:tblStyle w:val="Tablaconcuadrcula"/>
        <w:tblW w:w="0" w:type="auto"/>
        <w:jc w:val="center"/>
        <w:tblLook w:val="04A0" w:firstRow="1" w:lastRow="0" w:firstColumn="1" w:lastColumn="0" w:noHBand="0" w:noVBand="1"/>
      </w:tblPr>
      <w:tblGrid>
        <w:gridCol w:w="3240"/>
        <w:gridCol w:w="1185"/>
        <w:gridCol w:w="4403"/>
      </w:tblGrid>
      <w:tr w:rsidR="009D79B0" w:rsidRPr="004E5A48" w14:paraId="545D496C" w14:textId="77777777">
        <w:trPr>
          <w:jc w:val="center"/>
        </w:trPr>
        <w:tc>
          <w:tcPr>
            <w:tcW w:w="3528" w:type="dxa"/>
          </w:tcPr>
          <w:p w14:paraId="0ED1EC4C" w14:textId="77777777" w:rsidR="009D41F7" w:rsidRPr="004E5A48" w:rsidRDefault="00000000" w:rsidP="004A5EFE">
            <w:pPr>
              <w:jc w:val="both"/>
              <w:rPr>
                <w:rFonts w:ascii="Arial Nova Cond" w:hAnsi="Arial Nova Cond"/>
                <w:sz w:val="20"/>
                <w:szCs w:val="20"/>
              </w:rPr>
            </w:pPr>
            <w:r w:rsidRPr="004E5A48">
              <w:rPr>
                <w:rFonts w:ascii="Arial Nova Cond" w:hAnsi="Arial Nova Cond"/>
                <w:b/>
                <w:sz w:val="20"/>
                <w:szCs w:val="20"/>
              </w:rPr>
              <w:t>Principal theme/conclusion</w:t>
            </w:r>
          </w:p>
        </w:tc>
        <w:tc>
          <w:tcPr>
            <w:tcW w:w="1224" w:type="dxa"/>
          </w:tcPr>
          <w:p w14:paraId="2662E359" w14:textId="77777777" w:rsidR="009D41F7" w:rsidRPr="004E5A48" w:rsidRDefault="00000000" w:rsidP="004A5EFE">
            <w:pPr>
              <w:jc w:val="both"/>
              <w:rPr>
                <w:rFonts w:ascii="Arial Nova Cond" w:hAnsi="Arial Nova Cond"/>
                <w:sz w:val="20"/>
                <w:szCs w:val="20"/>
              </w:rPr>
            </w:pPr>
            <w:r w:rsidRPr="004E5A48">
              <w:rPr>
                <w:rFonts w:ascii="Arial Nova Cond" w:hAnsi="Arial Nova Cond"/>
                <w:b/>
                <w:sz w:val="20"/>
                <w:szCs w:val="20"/>
              </w:rPr>
              <w:t>Strength</w:t>
            </w:r>
          </w:p>
        </w:tc>
        <w:tc>
          <w:tcPr>
            <w:tcW w:w="4896" w:type="dxa"/>
          </w:tcPr>
          <w:p w14:paraId="3AB8889A" w14:textId="77777777" w:rsidR="009D41F7" w:rsidRPr="004E5A48" w:rsidRDefault="00000000" w:rsidP="004A5EFE">
            <w:pPr>
              <w:jc w:val="both"/>
              <w:rPr>
                <w:rFonts w:ascii="Arial Nova Cond" w:hAnsi="Arial Nova Cond"/>
                <w:sz w:val="20"/>
                <w:szCs w:val="20"/>
              </w:rPr>
            </w:pPr>
            <w:r w:rsidRPr="004E5A48">
              <w:rPr>
                <w:rFonts w:ascii="Arial Nova Cond" w:hAnsi="Arial Nova Cond"/>
                <w:b/>
                <w:sz w:val="20"/>
                <w:szCs w:val="20"/>
              </w:rPr>
              <w:t>Brief justification</w:t>
            </w:r>
          </w:p>
        </w:tc>
      </w:tr>
      <w:tr w:rsidR="009D79B0" w:rsidRPr="004E5A48" w14:paraId="3E0066E9" w14:textId="77777777">
        <w:trPr>
          <w:jc w:val="center"/>
        </w:trPr>
        <w:tc>
          <w:tcPr>
            <w:tcW w:w="3528" w:type="dxa"/>
          </w:tcPr>
          <w:p w14:paraId="19D68708"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Digital platforms reorganize labour while often leaving gaps in employment and social protection</w:t>
            </w:r>
          </w:p>
        </w:tc>
        <w:tc>
          <w:tcPr>
            <w:tcW w:w="1224" w:type="dxa"/>
          </w:tcPr>
          <w:p w14:paraId="56070CBB" w14:textId="77777777" w:rsidR="009D41F7" w:rsidRPr="004E5A48" w:rsidRDefault="00000000" w:rsidP="004A5EFE">
            <w:pPr>
              <w:jc w:val="both"/>
              <w:rPr>
                <w:rFonts w:ascii="Arial Nova Cond" w:hAnsi="Arial Nova Cond"/>
                <w:sz w:val="20"/>
                <w:szCs w:val="20"/>
              </w:rPr>
            </w:pPr>
            <w:r w:rsidRPr="004E5A48">
              <w:rPr>
                <w:rFonts w:ascii="Arial Nova Cond" w:hAnsi="Arial Nova Cond"/>
                <w:sz w:val="20"/>
                <w:szCs w:val="20"/>
              </w:rPr>
              <w:t>Strong</w:t>
            </w:r>
          </w:p>
        </w:tc>
        <w:tc>
          <w:tcPr>
            <w:tcW w:w="4896" w:type="dxa"/>
          </w:tcPr>
          <w:p w14:paraId="67803F11" w14:textId="77777777" w:rsidR="009D41F7" w:rsidRPr="004E5A48" w:rsidRDefault="00000000" w:rsidP="004A5EFE">
            <w:pPr>
              <w:jc w:val="both"/>
              <w:rPr>
                <w:rFonts w:ascii="Arial Nova Cond" w:hAnsi="Arial Nova Cond"/>
                <w:sz w:val="20"/>
                <w:szCs w:val="20"/>
              </w:rPr>
            </w:pPr>
            <w:r w:rsidRPr="004E5A48">
              <w:rPr>
                <w:rFonts w:ascii="Arial Nova Cond" w:hAnsi="Arial Nova Cond"/>
                <w:sz w:val="20"/>
                <w:szCs w:val="20"/>
                <w:lang w:val="en-US"/>
              </w:rPr>
              <w:t xml:space="preserve">Supported by global/comparative reports and multiple empirical studies of platform work, including survey and qualitative evidence. </w:t>
            </w:r>
            <w:r w:rsidRPr="004E5A48">
              <w:rPr>
                <w:rFonts w:ascii="Arial Nova Cond" w:hAnsi="Arial Nova Cond"/>
                <w:sz w:val="20"/>
                <w:szCs w:val="20"/>
              </w:rPr>
              <w:t>Convergence across methods and settings strengthens the claim.</w:t>
            </w:r>
          </w:p>
        </w:tc>
      </w:tr>
      <w:tr w:rsidR="009D79B0" w:rsidRPr="004E5A48" w14:paraId="33203332" w14:textId="77777777">
        <w:trPr>
          <w:jc w:val="center"/>
        </w:trPr>
        <w:tc>
          <w:tcPr>
            <w:tcW w:w="3528" w:type="dxa"/>
          </w:tcPr>
          <w:p w14:paraId="3078DC86"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Digitalization increases economic visibility but does not automatically produce full formalization</w:t>
            </w:r>
          </w:p>
        </w:tc>
        <w:tc>
          <w:tcPr>
            <w:tcW w:w="1224" w:type="dxa"/>
          </w:tcPr>
          <w:p w14:paraId="27B0DF64" w14:textId="77777777" w:rsidR="009D41F7" w:rsidRPr="004E5A48" w:rsidRDefault="00000000" w:rsidP="004A5EFE">
            <w:pPr>
              <w:jc w:val="both"/>
              <w:rPr>
                <w:rFonts w:ascii="Arial Nova Cond" w:hAnsi="Arial Nova Cond"/>
                <w:sz w:val="20"/>
                <w:szCs w:val="20"/>
              </w:rPr>
            </w:pPr>
            <w:r w:rsidRPr="004E5A48">
              <w:rPr>
                <w:rFonts w:ascii="Arial Nova Cond" w:hAnsi="Arial Nova Cond"/>
                <w:sz w:val="20"/>
                <w:szCs w:val="20"/>
              </w:rPr>
              <w:t>Moderate</w:t>
            </w:r>
          </w:p>
        </w:tc>
        <w:tc>
          <w:tcPr>
            <w:tcW w:w="4896" w:type="dxa"/>
          </w:tcPr>
          <w:p w14:paraId="4776C995"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The pattern is consistent across platform work, digital payments and governance studies, but direct comparative tests linking digital visibility to formalization outcomes remain uneven.</w:t>
            </w:r>
          </w:p>
        </w:tc>
      </w:tr>
      <w:tr w:rsidR="009D79B0" w:rsidRPr="004E5A48" w14:paraId="01023947" w14:textId="77777777">
        <w:trPr>
          <w:jc w:val="center"/>
        </w:trPr>
        <w:tc>
          <w:tcPr>
            <w:tcW w:w="3528" w:type="dxa"/>
          </w:tcPr>
          <w:p w14:paraId="7558C560"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lastRenderedPageBreak/>
              <w:t>Digital entrepreneurship frequently combines formal digital infrastructures with incomplete business or labour formalization.</w:t>
            </w:r>
          </w:p>
        </w:tc>
        <w:tc>
          <w:tcPr>
            <w:tcW w:w="1224" w:type="dxa"/>
          </w:tcPr>
          <w:p w14:paraId="6998E743" w14:textId="77777777" w:rsidR="009D41F7" w:rsidRPr="004E5A48" w:rsidRDefault="00000000" w:rsidP="004A5EFE">
            <w:pPr>
              <w:jc w:val="both"/>
              <w:rPr>
                <w:rFonts w:ascii="Arial Nova Cond" w:hAnsi="Arial Nova Cond"/>
                <w:sz w:val="20"/>
                <w:szCs w:val="20"/>
              </w:rPr>
            </w:pPr>
            <w:r w:rsidRPr="004E5A48">
              <w:rPr>
                <w:rFonts w:ascii="Arial Nova Cond" w:hAnsi="Arial Nova Cond"/>
                <w:sz w:val="20"/>
                <w:szCs w:val="20"/>
              </w:rPr>
              <w:t>Moderate</w:t>
            </w:r>
          </w:p>
        </w:tc>
        <w:tc>
          <w:tcPr>
            <w:tcW w:w="4896" w:type="dxa"/>
          </w:tcPr>
          <w:p w14:paraId="29ECEB0E"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Evidence is drawn from institutional reports and studies across several developing regions, but coverage is concentrated in selected sectors and countries and is less standardized than the platform-work literature.</w:t>
            </w:r>
          </w:p>
        </w:tc>
      </w:tr>
      <w:tr w:rsidR="009D79B0" w:rsidRPr="004E5A48" w14:paraId="4B529000" w14:textId="77777777">
        <w:trPr>
          <w:jc w:val="center"/>
        </w:trPr>
        <w:tc>
          <w:tcPr>
            <w:tcW w:w="3528" w:type="dxa"/>
          </w:tcPr>
          <w:p w14:paraId="4D5C0D51"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Existing statistical systems face growing difficulties capturing platform work, multiple jobholding and digitally mediated cross-border activity.</w:t>
            </w:r>
          </w:p>
        </w:tc>
        <w:tc>
          <w:tcPr>
            <w:tcW w:w="1224" w:type="dxa"/>
          </w:tcPr>
          <w:p w14:paraId="5F77C2ED" w14:textId="77777777" w:rsidR="009D41F7" w:rsidRPr="004E5A48" w:rsidRDefault="00000000" w:rsidP="004A5EFE">
            <w:pPr>
              <w:jc w:val="both"/>
              <w:rPr>
                <w:rFonts w:ascii="Arial Nova Cond" w:hAnsi="Arial Nova Cond"/>
                <w:sz w:val="20"/>
                <w:szCs w:val="20"/>
              </w:rPr>
            </w:pPr>
            <w:r w:rsidRPr="004E5A48">
              <w:rPr>
                <w:rFonts w:ascii="Arial Nova Cond" w:hAnsi="Arial Nova Cond"/>
                <w:sz w:val="20"/>
                <w:szCs w:val="20"/>
              </w:rPr>
              <w:t>Strong</w:t>
            </w:r>
          </w:p>
        </w:tc>
        <w:tc>
          <w:tcPr>
            <w:tcW w:w="4896" w:type="dxa"/>
          </w:tcPr>
          <w:p w14:paraId="107DF5FC"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International statistical guidance and measurement work converge on classification and data-access problems; the evidence base is methodologically explicit and directly focused on measurement.</w:t>
            </w:r>
          </w:p>
        </w:tc>
      </w:tr>
      <w:tr w:rsidR="009D79B0" w:rsidRPr="004E5A48" w14:paraId="29BFEBAD" w14:textId="77777777">
        <w:trPr>
          <w:jc w:val="center"/>
        </w:trPr>
        <w:tc>
          <w:tcPr>
            <w:tcW w:w="3528" w:type="dxa"/>
          </w:tcPr>
          <w:p w14:paraId="396B2678"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Digital government, digital identity and electronic tax systems can facilitate institutional integration and compliance.</w:t>
            </w:r>
          </w:p>
        </w:tc>
        <w:tc>
          <w:tcPr>
            <w:tcW w:w="1224" w:type="dxa"/>
          </w:tcPr>
          <w:p w14:paraId="5EAF9498" w14:textId="77777777" w:rsidR="009D41F7" w:rsidRPr="004E5A48" w:rsidRDefault="00000000" w:rsidP="004A5EFE">
            <w:pPr>
              <w:jc w:val="both"/>
              <w:rPr>
                <w:rFonts w:ascii="Arial Nova Cond" w:hAnsi="Arial Nova Cond"/>
                <w:sz w:val="20"/>
                <w:szCs w:val="20"/>
              </w:rPr>
            </w:pPr>
            <w:r w:rsidRPr="004E5A48">
              <w:rPr>
                <w:rFonts w:ascii="Arial Nova Cond" w:hAnsi="Arial Nova Cond"/>
                <w:sz w:val="20"/>
                <w:szCs w:val="20"/>
              </w:rPr>
              <w:t>Moderate</w:t>
            </w:r>
          </w:p>
        </w:tc>
        <w:tc>
          <w:tcPr>
            <w:tcW w:w="4896" w:type="dxa"/>
          </w:tcPr>
          <w:p w14:paraId="10E4849B"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There is empirical and administrative evidence for particular instruments and countries, but effects depend strongly on institutional capacity and cannot be generalized as automatic formalization.</w:t>
            </w:r>
          </w:p>
        </w:tc>
      </w:tr>
      <w:tr w:rsidR="009D79B0" w:rsidRPr="004E5A48" w14:paraId="4A628F81" w14:textId="77777777">
        <w:trPr>
          <w:jc w:val="center"/>
        </w:trPr>
        <w:tc>
          <w:tcPr>
            <w:tcW w:w="3528" w:type="dxa"/>
          </w:tcPr>
          <w:p w14:paraId="42C11C9F" w14:textId="77777777" w:rsidR="00116328" w:rsidRPr="004E5A48" w:rsidRDefault="00000000">
            <w:pPr>
              <w:rPr>
                <w:rFonts w:ascii="Arial Nova Cond" w:hAnsi="Arial Nova Cond"/>
                <w:sz w:val="20"/>
                <w:szCs w:val="20"/>
                <w:lang w:val="en-US"/>
              </w:rPr>
            </w:pPr>
            <w:r w:rsidRPr="004E5A48">
              <w:rPr>
                <w:rFonts w:ascii="Arial Nova Cond" w:hAnsi="Arial Nova Cond"/>
                <w:sz w:val="20"/>
                <w:szCs w:val="20"/>
                <w:lang w:val="en-US"/>
              </w:rPr>
              <w:t>The component features of hybrid informality—digital visibility, partial institutional integration and protection deficits—coexist in multiple digitally mediated activities.</w:t>
            </w:r>
          </w:p>
        </w:tc>
        <w:tc>
          <w:tcPr>
            <w:tcW w:w="1224" w:type="dxa"/>
          </w:tcPr>
          <w:p w14:paraId="0573D243" w14:textId="77777777" w:rsidR="00116328" w:rsidRPr="004E5A48" w:rsidRDefault="00000000">
            <w:pPr>
              <w:rPr>
                <w:rFonts w:ascii="Arial Nova Cond" w:hAnsi="Arial Nova Cond"/>
                <w:sz w:val="20"/>
                <w:szCs w:val="20"/>
              </w:rPr>
            </w:pPr>
            <w:r w:rsidRPr="004E5A48">
              <w:rPr>
                <w:rFonts w:ascii="Arial Nova Cond" w:hAnsi="Arial Nova Cond"/>
                <w:sz w:val="20"/>
                <w:szCs w:val="20"/>
              </w:rPr>
              <w:t>Moderate</w:t>
            </w:r>
          </w:p>
        </w:tc>
        <w:tc>
          <w:tcPr>
            <w:tcW w:w="4896" w:type="dxa"/>
          </w:tcPr>
          <w:p w14:paraId="4756074A" w14:textId="77777777" w:rsidR="00116328" w:rsidRPr="004E5A48" w:rsidRDefault="00000000">
            <w:pPr>
              <w:rPr>
                <w:rFonts w:ascii="Arial Nova Cond" w:hAnsi="Arial Nova Cond"/>
                <w:sz w:val="20"/>
                <w:szCs w:val="20"/>
                <w:lang w:val="en-US"/>
              </w:rPr>
            </w:pPr>
            <w:r w:rsidRPr="004E5A48">
              <w:rPr>
                <w:rFonts w:ascii="Arial Nova Cond" w:hAnsi="Arial Nova Cond"/>
                <w:sz w:val="20"/>
                <w:szCs w:val="20"/>
                <w:lang w:val="en-US"/>
              </w:rPr>
              <w:t>The component features recur across several empirical and institutional literatures, but the integrated “hybrid informality” construct is proposed by this review and has not been systematically validated against alternative frameworks.</w:t>
            </w:r>
          </w:p>
        </w:tc>
      </w:tr>
      <w:tr w:rsidR="009D79B0" w:rsidRPr="004E5A48" w14:paraId="7C00D925" w14:textId="77777777">
        <w:trPr>
          <w:jc w:val="center"/>
        </w:trPr>
        <w:tc>
          <w:tcPr>
            <w:tcW w:w="3528" w:type="dxa"/>
          </w:tcPr>
          <w:p w14:paraId="422817BD"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AI and blockchain will substantially improve the measurement or formalization of informal activity.</w:t>
            </w:r>
          </w:p>
        </w:tc>
        <w:tc>
          <w:tcPr>
            <w:tcW w:w="1224" w:type="dxa"/>
          </w:tcPr>
          <w:p w14:paraId="17237944" w14:textId="77777777" w:rsidR="009D41F7" w:rsidRPr="004E5A48" w:rsidRDefault="00000000" w:rsidP="004A5EFE">
            <w:pPr>
              <w:jc w:val="both"/>
              <w:rPr>
                <w:rFonts w:ascii="Arial Nova Cond" w:hAnsi="Arial Nova Cond"/>
                <w:sz w:val="20"/>
                <w:szCs w:val="20"/>
              </w:rPr>
            </w:pPr>
            <w:r w:rsidRPr="004E5A48">
              <w:rPr>
                <w:rFonts w:ascii="Arial Nova Cond" w:hAnsi="Arial Nova Cond"/>
                <w:sz w:val="20"/>
                <w:szCs w:val="20"/>
              </w:rPr>
              <w:t>Limited</w:t>
            </w:r>
          </w:p>
        </w:tc>
        <w:tc>
          <w:tcPr>
            <w:tcW w:w="4896" w:type="dxa"/>
          </w:tcPr>
          <w:p w14:paraId="46EFE3BE"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The literature is still emerging and much of the support is prospective, conceptual, or based on experimental applications rather than mature comparative evidence.</w:t>
            </w:r>
          </w:p>
        </w:tc>
      </w:tr>
    </w:tbl>
    <w:p w14:paraId="47975A93" w14:textId="77777777" w:rsidR="009D41F7" w:rsidRPr="004E5A48" w:rsidRDefault="00000000" w:rsidP="004A5EFE">
      <w:pPr>
        <w:jc w:val="both"/>
        <w:rPr>
          <w:rFonts w:ascii="Arial Nova Cond" w:hAnsi="Arial Nova Cond"/>
          <w:sz w:val="20"/>
          <w:szCs w:val="20"/>
          <w:lang w:val="en-US"/>
        </w:rPr>
      </w:pPr>
      <w:r w:rsidRPr="004E5A48">
        <w:rPr>
          <w:rFonts w:ascii="Arial Nova Cond" w:hAnsi="Arial Nova Cond"/>
          <w:sz w:val="20"/>
          <w:szCs w:val="20"/>
          <w:lang w:val="en-US"/>
        </w:rPr>
        <w:t xml:space="preserve">Source: </w:t>
      </w:r>
      <w:r w:rsidR="00F13A41" w:rsidRPr="004E5A48">
        <w:rPr>
          <w:rFonts w:ascii="Arial Nova Cond" w:hAnsi="Arial Nova Cond"/>
          <w:sz w:val="20"/>
          <w:szCs w:val="20"/>
          <w:lang w:val="en-US"/>
        </w:rPr>
        <w:t>A</w:t>
      </w:r>
      <w:r w:rsidRPr="004E5A48">
        <w:rPr>
          <w:rFonts w:ascii="Arial Nova Cond" w:hAnsi="Arial Nova Cond"/>
          <w:sz w:val="20"/>
          <w:szCs w:val="20"/>
          <w:lang w:val="en-US"/>
        </w:rPr>
        <w:t>nalytical synthesis of the corpus summarized in Table 1. The strength labels are interpretive judgments applied consistently across claims: Strong indicates convergent and relatively direct support across multiple empirical/comparative sources or authoritative measurement work; Moderate indicates meaningful support with important limitations in scope, comparability, causal identification, or replication; Limited indicates predominantly prospective, conceptual, experimental, or sparsely replicated support. These labels do not constitute a formal risk-of-bias or GRADE assessment.</w:t>
      </w:r>
    </w:p>
    <w:p w14:paraId="147A963E" w14:textId="77777777" w:rsidR="00D4673F"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Three broad limitations qualify the synthesis that follows.</w:t>
      </w:r>
    </w:p>
    <w:p w14:paraId="3DE27E06"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First, because the literature on digitalization and informality is relatively recent and rapidly evolving, many conclusions remain provisional.</w:t>
      </w:r>
    </w:p>
    <w:p w14:paraId="35097A2E"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Second, much of the available evidence comes from case studies and policy reports rather than large-scale comparative analyses.</w:t>
      </w:r>
    </w:p>
    <w:p w14:paraId="47A113EC"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Third, empirical research is concentrated in ride-hailing, food delivery, and online freelancing, leaving other forms of digital entrepreneurship comparatively underexplored.</w:t>
      </w:r>
    </w:p>
    <w:p w14:paraId="09861D14"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Taken together, these limitations call for caution in generalization while still allowing the review to identify areas of convergence and priorities for future research.</w:t>
      </w:r>
    </w:p>
    <w:p w14:paraId="791641A8" w14:textId="77777777" w:rsidR="004F5F26" w:rsidRPr="004E5A48" w:rsidRDefault="00000000" w:rsidP="004A5EFE">
      <w:pPr>
        <w:pStyle w:val="Ttulo1"/>
        <w:rPr>
          <w:rFonts w:ascii="Arial Nova Cond" w:hAnsi="Arial Nova Cond"/>
          <w:sz w:val="24"/>
          <w:szCs w:val="24"/>
        </w:rPr>
      </w:pPr>
      <w:r w:rsidRPr="004E5A48">
        <w:rPr>
          <w:rFonts w:ascii="Arial Nova Cond" w:hAnsi="Arial Nova Cond"/>
          <w:sz w:val="24"/>
          <w:szCs w:val="24"/>
        </w:rPr>
        <w:t>3. From Informality to Hybrid Informality</w:t>
      </w:r>
    </w:p>
    <w:p w14:paraId="65E1CF7A"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Digitalization has transformed economic institutions by reducing transaction costs, expanding information flows, and enabling new forms of coordination (Castells, 2010; Goldfarb &amp; Tucker, 2019).</w:t>
      </w:r>
    </w:p>
    <w:p w14:paraId="22E1687E"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lastRenderedPageBreak/>
        <w:t>Digital platforms are particularly important in this regard. They function as intermediaries connecting workers, consumers, and firms through algorithmic systems. Unlike traditional firms, platforms frequently coordinate economic activity without establishing conventional employment relationships (Srnicek, 2017; Graham et al., 2017; Rani &amp; Furrer, 2021).</w:t>
      </w:r>
    </w:p>
    <w:p w14:paraId="3C727633"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These organizational changes have important implications for how informality is conceptualized.</w:t>
      </w:r>
    </w:p>
    <w:p w14:paraId="0E2D66DC"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Traditional approaches often associate regulatory exclusion with limited institutional visibility; digital technologies complicate this relationship by making some activities highly observable without necessarily extending formal protections.</w:t>
      </w:r>
    </w:p>
    <w:p w14:paraId="7ECFC1B6"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Many platform workers generate extensive digital records—including transaction histories, geolocation data, performance metrics, and payment information—yet this visibility does not necessarily translate into labour or social-protection coverage.</w:t>
      </w:r>
    </w:p>
    <w:p w14:paraId="03476160"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 resulting institutional arrangements may therefore combine features conventionally associated with both formality and informality.</w:t>
      </w:r>
    </w:p>
    <w:p w14:paraId="646F55E5"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To organize these emerging configurations analytically, this article proposes the concept of hybrid informality.</w:t>
      </w:r>
    </w:p>
    <w:p w14:paraId="1E3F30FA"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Hybrid informality refers to economic activities characterized by three interrelated features—digital visibility, partial institutional integration, and persistent regulatory deficits. This emphasis on multidimensional institutional status builds on prior work documenting the heterogeneity of informal employment and organization (Chen et al., 2015).</w:t>
      </w:r>
    </w:p>
    <w:p w14:paraId="794697D2"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Digital visibility refers to the existence of electronic records generated through platforms, payment systems, or digital infrastructures.</w:t>
      </w:r>
    </w:p>
    <w:p w14:paraId="243B4B8D"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Partial institutional integration refers to participation in selected formal institutions, such as taxation systems, banking services, or business registration frameworks.</w:t>
      </w:r>
    </w:p>
    <w:p w14:paraId="11CE283B"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Persistent regulatory deficits refer to continuing gaps in labour rights, social protection, legal recognition, or regulatory compliance.</w:t>
      </w:r>
    </w:p>
    <w:p w14:paraId="2CEA2844"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rPr>
        <w:t>Examples include:</w:t>
      </w:r>
    </w:p>
    <w:p w14:paraId="2E178176" w14:textId="77777777" w:rsidR="004F5F26" w:rsidRPr="004E5A48" w:rsidRDefault="00000000" w:rsidP="004A5EFE">
      <w:pPr>
        <w:numPr>
          <w:ilvl w:val="0"/>
          <w:numId w:val="2"/>
        </w:numPr>
        <w:spacing w:after="60" w:line="276" w:lineRule="auto"/>
        <w:jc w:val="both"/>
        <w:rPr>
          <w:rFonts w:ascii="Arial Nova Cond" w:hAnsi="Arial Nova Cond"/>
          <w:sz w:val="24"/>
          <w:lang w:val="en-US"/>
        </w:rPr>
      </w:pPr>
      <w:r w:rsidRPr="004E5A48">
        <w:rPr>
          <w:rFonts w:ascii="Arial Nova Cond" w:hAnsi="Arial Nova Cond"/>
          <w:sz w:val="24"/>
          <w:lang w:val="en-US"/>
        </w:rPr>
        <w:t>Ride-hailing drivers are registered for tax purposes but lack employment protections.</w:t>
      </w:r>
    </w:p>
    <w:p w14:paraId="56CE4DA7" w14:textId="77777777" w:rsidR="004F5F26" w:rsidRPr="004E5A48" w:rsidRDefault="00000000" w:rsidP="004A5EFE">
      <w:pPr>
        <w:numPr>
          <w:ilvl w:val="0"/>
          <w:numId w:val="2"/>
        </w:numPr>
        <w:spacing w:after="60" w:line="276" w:lineRule="auto"/>
        <w:jc w:val="both"/>
        <w:rPr>
          <w:rFonts w:ascii="Arial Nova Cond" w:hAnsi="Arial Nova Cond"/>
          <w:sz w:val="24"/>
          <w:lang w:val="en-US"/>
        </w:rPr>
      </w:pPr>
      <w:r w:rsidRPr="004E5A48">
        <w:rPr>
          <w:rFonts w:ascii="Arial Nova Cond" w:hAnsi="Arial Nova Cond"/>
          <w:sz w:val="24"/>
          <w:lang w:val="en-US"/>
        </w:rPr>
        <w:t>Online freelancers participate in global labour markets without access to social insurance.</w:t>
      </w:r>
    </w:p>
    <w:p w14:paraId="4385EBF1" w14:textId="77777777" w:rsidR="004F5F26" w:rsidRPr="004E5A48" w:rsidRDefault="00000000" w:rsidP="004A5EFE">
      <w:pPr>
        <w:numPr>
          <w:ilvl w:val="0"/>
          <w:numId w:val="2"/>
        </w:numPr>
        <w:spacing w:after="60" w:line="276" w:lineRule="auto"/>
        <w:jc w:val="both"/>
        <w:rPr>
          <w:rFonts w:ascii="Arial Nova Cond" w:hAnsi="Arial Nova Cond"/>
          <w:sz w:val="24"/>
          <w:lang w:val="en-US"/>
        </w:rPr>
      </w:pPr>
      <w:r w:rsidRPr="004E5A48">
        <w:rPr>
          <w:rFonts w:ascii="Arial Nova Cond" w:hAnsi="Arial Nova Cond"/>
          <w:sz w:val="24"/>
          <w:lang w:val="en-US"/>
        </w:rPr>
        <w:t>Social media entrepreneurs conduct substantial commercial activities without formal business registration.</w:t>
      </w:r>
    </w:p>
    <w:p w14:paraId="03B94217" w14:textId="77777777" w:rsidR="004F5F26" w:rsidRPr="004E5A48" w:rsidRDefault="00000000" w:rsidP="004A5EFE">
      <w:pPr>
        <w:numPr>
          <w:ilvl w:val="0"/>
          <w:numId w:val="2"/>
        </w:numPr>
        <w:spacing w:after="60" w:line="276" w:lineRule="auto"/>
        <w:jc w:val="both"/>
        <w:rPr>
          <w:rFonts w:ascii="Arial Nova Cond" w:hAnsi="Arial Nova Cond"/>
          <w:sz w:val="24"/>
          <w:lang w:val="en-US"/>
        </w:rPr>
      </w:pPr>
      <w:r w:rsidRPr="004E5A48">
        <w:rPr>
          <w:rFonts w:ascii="Arial Nova Cond" w:hAnsi="Arial Nova Cond"/>
          <w:sz w:val="24"/>
          <w:lang w:val="en-US"/>
        </w:rPr>
        <w:t>Platform workers are subject to algorithmic management while being classified as independent contractors.</w:t>
      </w:r>
    </w:p>
    <w:p w14:paraId="75290F0B"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lastRenderedPageBreak/>
        <w:t>Hybrid informality therefore describes configurations that occupy intermediate positions between conventional categories of formality and informality.</w:t>
      </w:r>
    </w:p>
    <w:p w14:paraId="43331D05"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Rather than treating formality and informality as binary categories, the framework situates economic activities along a continuum of institutional integration.</w:t>
      </w:r>
    </w:p>
    <w:p w14:paraId="1AED24C2"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This perspective offers a potentially useful analytical lens for organizing evidence on complex forms of economic organization emerging in the digital economy and serves as the theoretical foundation for the remainder of this review. The present review does not, however, establish that it performs better than alternative multidimensional or continuum-based frameworks.</w:t>
      </w:r>
    </w:p>
    <w:p w14:paraId="16A7D516" w14:textId="77777777" w:rsidR="004F5F26" w:rsidRPr="004E5A48" w:rsidRDefault="00000000" w:rsidP="004A5EFE">
      <w:pPr>
        <w:pStyle w:val="Ttulo1"/>
        <w:rPr>
          <w:rFonts w:ascii="Arial Nova Cond" w:hAnsi="Arial Nova Cond"/>
          <w:sz w:val="24"/>
          <w:szCs w:val="24"/>
        </w:rPr>
      </w:pPr>
      <w:r w:rsidRPr="004E5A48">
        <w:rPr>
          <w:rFonts w:ascii="Arial Nova Cond" w:hAnsi="Arial Nova Cond"/>
          <w:sz w:val="24"/>
          <w:szCs w:val="24"/>
        </w:rPr>
        <w:t>4. Digital Transformation of Informal Economic Activities</w:t>
      </w:r>
    </w:p>
    <w:p w14:paraId="3FA65FB8"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Digital labour platforms are among the most consequential organizational changes associated with contemporary digitalization.</w:t>
      </w:r>
    </w:p>
    <w:p w14:paraId="6CB2EE8E"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Platforms such as Uber, Glovo, Deliveroo, Rappi, Fiverr, Upwork, Freelancer, and Amazon Mechanical Turk connect workers and consumers through algorithmic systems. These platforms coordinate labour without relying on traditional employment relationships (Srnicek, 2017; Pesole et al., 2018).</w:t>
      </w:r>
    </w:p>
    <w:p w14:paraId="2776C030"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 rapid growth of platform work has generated extensive academic debate. Optimistic accounts emphasize increased flexibility, expanded labour-market participation, and reduced barriers to entry (Heeks, 2021). For many workers, platform employment provides opportunities unavailable through conventional labour markets.</w:t>
      </w:r>
    </w:p>
    <w:p w14:paraId="11B7BBFF"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Such opportunities may be especially relevant in developing economies characterized by high unemployment and labour-market segmentation.</w:t>
      </w:r>
    </w:p>
    <w:p w14:paraId="50B3CED9"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At the same time, empirical research documents substantial challenges.</w:t>
      </w:r>
    </w:p>
    <w:p w14:paraId="1D1330ED"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Platform workers frequently lack key dimensions of decent work and employment protection (Berg, 2016; Berg et al., 2018; ILO, 2021):</w:t>
      </w:r>
    </w:p>
    <w:p w14:paraId="0448C2A0" w14:textId="77777777" w:rsidR="004F5F26" w:rsidRPr="004E5A48" w:rsidRDefault="00000000" w:rsidP="004A5EFE">
      <w:pPr>
        <w:numPr>
          <w:ilvl w:val="0"/>
          <w:numId w:val="7"/>
        </w:numPr>
        <w:spacing w:after="60" w:line="276" w:lineRule="auto"/>
        <w:jc w:val="both"/>
        <w:rPr>
          <w:rFonts w:ascii="Arial Nova Cond" w:hAnsi="Arial Nova Cond"/>
          <w:sz w:val="24"/>
          <w:lang w:val="en-US"/>
        </w:rPr>
      </w:pPr>
      <w:r w:rsidRPr="004E5A48">
        <w:rPr>
          <w:rFonts w:ascii="Arial Nova Cond" w:hAnsi="Arial Nova Cond"/>
          <w:sz w:val="24"/>
        </w:rPr>
        <w:t>social protection;</w:t>
      </w:r>
    </w:p>
    <w:p w14:paraId="765F3562" w14:textId="77777777" w:rsidR="004F5F26" w:rsidRPr="004E5A48" w:rsidRDefault="00000000" w:rsidP="004A5EFE">
      <w:pPr>
        <w:numPr>
          <w:ilvl w:val="0"/>
          <w:numId w:val="7"/>
        </w:numPr>
        <w:spacing w:after="60" w:line="276" w:lineRule="auto"/>
        <w:jc w:val="both"/>
        <w:rPr>
          <w:rFonts w:ascii="Arial Nova Cond" w:hAnsi="Arial Nova Cond"/>
          <w:sz w:val="24"/>
          <w:lang w:val="en-US"/>
        </w:rPr>
      </w:pPr>
      <w:r w:rsidRPr="004E5A48">
        <w:rPr>
          <w:rFonts w:ascii="Arial Nova Cond" w:hAnsi="Arial Nova Cond"/>
          <w:sz w:val="24"/>
        </w:rPr>
        <w:t>collective bargaining rights;</w:t>
      </w:r>
    </w:p>
    <w:p w14:paraId="3D8FF8D2" w14:textId="77777777" w:rsidR="004F5F26" w:rsidRPr="004E5A48" w:rsidRDefault="00000000" w:rsidP="004A5EFE">
      <w:pPr>
        <w:numPr>
          <w:ilvl w:val="0"/>
          <w:numId w:val="7"/>
        </w:numPr>
        <w:spacing w:after="60" w:line="276" w:lineRule="auto"/>
        <w:jc w:val="both"/>
        <w:rPr>
          <w:rFonts w:ascii="Arial Nova Cond" w:hAnsi="Arial Nova Cond"/>
          <w:sz w:val="24"/>
          <w:lang w:val="en-US"/>
        </w:rPr>
      </w:pPr>
      <w:r w:rsidRPr="004E5A48">
        <w:rPr>
          <w:rFonts w:ascii="Arial Nova Cond" w:hAnsi="Arial Nova Cond"/>
          <w:sz w:val="24"/>
        </w:rPr>
        <w:t>employment security;</w:t>
      </w:r>
    </w:p>
    <w:p w14:paraId="574972D2" w14:textId="77777777" w:rsidR="004F5F26" w:rsidRPr="004E5A48" w:rsidRDefault="00000000" w:rsidP="004A5EFE">
      <w:pPr>
        <w:numPr>
          <w:ilvl w:val="0"/>
          <w:numId w:val="7"/>
        </w:numPr>
        <w:spacing w:after="60" w:line="276" w:lineRule="auto"/>
        <w:jc w:val="both"/>
        <w:rPr>
          <w:rFonts w:ascii="Arial Nova Cond" w:hAnsi="Arial Nova Cond"/>
          <w:sz w:val="24"/>
          <w:lang w:val="en-US"/>
        </w:rPr>
      </w:pPr>
      <w:r w:rsidRPr="004E5A48">
        <w:rPr>
          <w:rFonts w:ascii="Arial Nova Cond" w:hAnsi="Arial Nova Cond"/>
          <w:sz w:val="24"/>
        </w:rPr>
        <w:t>occupational safety guarantees.</w:t>
      </w:r>
    </w:p>
    <w:p w14:paraId="37C6B6A9"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Moreover, workers often experience extensive forms of algorithmic control. Platforms use algorithms to allocate tasks, evaluate performance, determine remuneration, and regulate access to future work opportunities (Wood et al., 2019, p. 56).</w:t>
      </w:r>
    </w:p>
    <w:p w14:paraId="5D5A3919"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This combination creates a central tension in platform work.</w:t>
      </w:r>
    </w:p>
    <w:p w14:paraId="694D6DC3"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lastRenderedPageBreak/>
        <w:t>Workers may appear formally autonomous because they are classified as independent contractors, while simultaneously experiencing forms of control comparable to those found in conventional employment relationships.</w:t>
      </w:r>
    </w:p>
    <w:p w14:paraId="5A78D171"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 resulting arrangements are neither fully formal nor fully informal. Rather, they exemplify the emergence of hybrid informality.</w:t>
      </w:r>
    </w:p>
    <w:p w14:paraId="6807C2B3"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Digital platforms, social media and mobile finance lower barriers to market participation and financial access, allowing microentrepreneurs to reach wider markets and use formal payment infrastructures. Evidence from mobile money and digital commerce shows gains in inclusion and resilience, but many participants remain unregistered or outside labour and social-protection systems (Aker &amp; Blumenstock, 2015; Suri &amp; Jack, 2016, pp. 1288–1292; UNCTAD, 2021; Demirgüç-Kunt et al., 2022). Digital entrepreneurship and fintech therefore illustrate partial institutional integration rather than automatic formalization.</w:t>
      </w:r>
    </w:p>
    <w:p w14:paraId="0CC54764" w14:textId="77777777" w:rsidR="004F5F26" w:rsidRPr="004E5A48" w:rsidRDefault="00000000" w:rsidP="004A5EFE">
      <w:pPr>
        <w:spacing w:after="0" w:line="240" w:lineRule="auto"/>
        <w:jc w:val="both"/>
        <w:rPr>
          <w:rFonts w:ascii="Arial Nova Cond" w:hAnsi="Arial Nova Cond"/>
          <w:b/>
          <w:bCs/>
          <w:color w:val="8C52FF"/>
          <w:sz w:val="24"/>
          <w:lang w:val="en-US"/>
        </w:rPr>
      </w:pPr>
      <w:r w:rsidRPr="004E5A48">
        <w:rPr>
          <w:rFonts w:ascii="Arial Nova Cond" w:hAnsi="Arial Nova Cond"/>
          <w:b/>
          <w:bCs/>
          <w:sz w:val="24"/>
          <w:lang w:val="en-US"/>
        </w:rPr>
        <w:t xml:space="preserve">Table </w:t>
      </w:r>
      <w:r w:rsidR="00F13A41" w:rsidRPr="004E5A48">
        <w:rPr>
          <w:rFonts w:ascii="Arial Nova Cond" w:hAnsi="Arial Nova Cond"/>
          <w:b/>
          <w:bCs/>
          <w:sz w:val="24"/>
          <w:lang w:val="en-US"/>
        </w:rPr>
        <w:t>3</w:t>
      </w:r>
      <w:r w:rsidRPr="004E5A48">
        <w:rPr>
          <w:rFonts w:ascii="Arial Nova Cond" w:hAnsi="Arial Nova Cond"/>
          <w:b/>
          <w:bCs/>
          <w:sz w:val="24"/>
          <w:lang w:val="en-US"/>
        </w:rPr>
        <w:t>.</w:t>
      </w:r>
      <w:r w:rsidRPr="004E5A48">
        <w:rPr>
          <w:rFonts w:ascii="Arial Nova Cond" w:hAnsi="Arial Nova Cond"/>
          <w:sz w:val="24"/>
          <w:lang w:val="en-US"/>
        </w:rPr>
        <w:t xml:space="preserve"> Examples of Hybrid Informality</w:t>
      </w:r>
    </w:p>
    <w:tbl>
      <w:tblPr>
        <w:tblW w:w="8642" w:type="dxa"/>
        <w:tblCellSpacing w:w="15" w:type="dxa"/>
        <w:tblBorders>
          <w:top w:val="single" w:sz="4" w:space="0" w:color="8C52FF"/>
          <w:left w:val="single" w:sz="4" w:space="0" w:color="8C52FF"/>
          <w:bottom w:val="single" w:sz="4" w:space="0" w:color="8C52FF"/>
          <w:right w:val="single" w:sz="4" w:space="0" w:color="8C52FF"/>
          <w:insideH w:val="single" w:sz="4" w:space="0" w:color="8C52FF"/>
          <w:insideV w:val="single" w:sz="4" w:space="0" w:color="8C52FF"/>
        </w:tblBorders>
        <w:tblCellMar>
          <w:top w:w="15" w:type="dxa"/>
          <w:left w:w="15" w:type="dxa"/>
          <w:bottom w:w="15" w:type="dxa"/>
          <w:right w:w="15" w:type="dxa"/>
        </w:tblCellMar>
        <w:tblLook w:val="04A0" w:firstRow="1" w:lastRow="0" w:firstColumn="1" w:lastColumn="0" w:noHBand="0" w:noVBand="1"/>
      </w:tblPr>
      <w:tblGrid>
        <w:gridCol w:w="2405"/>
        <w:gridCol w:w="1701"/>
        <w:gridCol w:w="2552"/>
        <w:gridCol w:w="1984"/>
      </w:tblGrid>
      <w:tr w:rsidR="009D79B0" w:rsidRPr="004E5A48" w14:paraId="7EAD65EB" w14:textId="77777777" w:rsidTr="007E6A4E">
        <w:trPr>
          <w:tblCellSpacing w:w="15" w:type="dxa"/>
        </w:trPr>
        <w:tc>
          <w:tcPr>
            <w:tcW w:w="2360" w:type="dxa"/>
            <w:vAlign w:val="center"/>
            <w:hideMark/>
          </w:tcPr>
          <w:p w14:paraId="07506C32" w14:textId="77777777" w:rsidR="004F5F26" w:rsidRPr="004E5A48" w:rsidRDefault="00000000" w:rsidP="004A5EFE">
            <w:pPr>
              <w:spacing w:after="60" w:line="276" w:lineRule="auto"/>
              <w:jc w:val="both"/>
              <w:rPr>
                <w:rFonts w:ascii="Arial Nova Cond" w:hAnsi="Arial Nova Cond"/>
                <w:b/>
                <w:bCs/>
                <w:sz w:val="24"/>
                <w:lang w:val="en-US"/>
              </w:rPr>
            </w:pPr>
            <w:r w:rsidRPr="004E5A48">
              <w:rPr>
                <w:rFonts w:ascii="Arial Nova Cond" w:hAnsi="Arial Nova Cond"/>
                <w:b/>
                <w:bCs/>
                <w:sz w:val="24"/>
                <w:lang w:val="en-US"/>
              </w:rPr>
              <w:t>Economic Activity</w:t>
            </w:r>
          </w:p>
        </w:tc>
        <w:tc>
          <w:tcPr>
            <w:tcW w:w="1671" w:type="dxa"/>
            <w:vAlign w:val="center"/>
            <w:hideMark/>
          </w:tcPr>
          <w:p w14:paraId="33537BBA" w14:textId="77777777" w:rsidR="004F5F26" w:rsidRPr="004E5A48" w:rsidRDefault="00000000" w:rsidP="004A5EFE">
            <w:pPr>
              <w:spacing w:after="60" w:line="276" w:lineRule="auto"/>
              <w:jc w:val="both"/>
              <w:rPr>
                <w:rFonts w:ascii="Arial Nova Cond" w:hAnsi="Arial Nova Cond"/>
                <w:b/>
                <w:bCs/>
                <w:sz w:val="24"/>
                <w:lang w:val="en-US"/>
              </w:rPr>
            </w:pPr>
            <w:r w:rsidRPr="004E5A48">
              <w:rPr>
                <w:rFonts w:ascii="Arial Nova Cond" w:hAnsi="Arial Nova Cond"/>
                <w:b/>
                <w:bCs/>
                <w:sz w:val="24"/>
                <w:lang w:val="en-US"/>
              </w:rPr>
              <w:t>Digital Visibility</w:t>
            </w:r>
          </w:p>
        </w:tc>
        <w:tc>
          <w:tcPr>
            <w:tcW w:w="2522" w:type="dxa"/>
            <w:vAlign w:val="center"/>
            <w:hideMark/>
          </w:tcPr>
          <w:p w14:paraId="24BE65F0" w14:textId="77777777" w:rsidR="004F5F26" w:rsidRPr="004E5A48" w:rsidRDefault="00000000" w:rsidP="004A5EFE">
            <w:pPr>
              <w:spacing w:after="60" w:line="276" w:lineRule="auto"/>
              <w:jc w:val="both"/>
              <w:rPr>
                <w:rFonts w:ascii="Arial Nova Cond" w:hAnsi="Arial Nova Cond"/>
                <w:b/>
                <w:bCs/>
                <w:sz w:val="24"/>
                <w:lang w:val="en-US"/>
              </w:rPr>
            </w:pPr>
            <w:r w:rsidRPr="004E5A48">
              <w:rPr>
                <w:rFonts w:ascii="Arial Nova Cond" w:hAnsi="Arial Nova Cond"/>
                <w:b/>
                <w:bCs/>
                <w:sz w:val="24"/>
                <w:lang w:val="en-US"/>
              </w:rPr>
              <w:t>Institutional Integration</w:t>
            </w:r>
          </w:p>
        </w:tc>
        <w:tc>
          <w:tcPr>
            <w:tcW w:w="1939" w:type="dxa"/>
            <w:vAlign w:val="center"/>
            <w:hideMark/>
          </w:tcPr>
          <w:p w14:paraId="37597A16" w14:textId="77777777" w:rsidR="004F5F26" w:rsidRPr="004E5A48" w:rsidRDefault="00000000" w:rsidP="004A5EFE">
            <w:pPr>
              <w:spacing w:after="60" w:line="276" w:lineRule="auto"/>
              <w:jc w:val="both"/>
              <w:rPr>
                <w:rFonts w:ascii="Arial Nova Cond" w:hAnsi="Arial Nova Cond"/>
                <w:b/>
                <w:bCs/>
                <w:sz w:val="24"/>
                <w:lang w:val="en-US"/>
              </w:rPr>
            </w:pPr>
            <w:r w:rsidRPr="004E5A48">
              <w:rPr>
                <w:rFonts w:ascii="Arial Nova Cond" w:hAnsi="Arial Nova Cond"/>
                <w:b/>
                <w:bCs/>
                <w:sz w:val="24"/>
                <w:lang w:val="en-US"/>
              </w:rPr>
              <w:t>Labour Protection</w:t>
            </w:r>
          </w:p>
        </w:tc>
      </w:tr>
      <w:tr w:rsidR="009D79B0" w:rsidRPr="004E5A48" w14:paraId="7B93EA80" w14:textId="77777777" w:rsidTr="007E6A4E">
        <w:trPr>
          <w:tblCellSpacing w:w="15" w:type="dxa"/>
        </w:trPr>
        <w:tc>
          <w:tcPr>
            <w:tcW w:w="2360" w:type="dxa"/>
            <w:vAlign w:val="center"/>
            <w:hideMark/>
          </w:tcPr>
          <w:p w14:paraId="5D2BF6F5"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Ride-hailing driver</w:t>
            </w:r>
          </w:p>
        </w:tc>
        <w:tc>
          <w:tcPr>
            <w:tcW w:w="1671" w:type="dxa"/>
            <w:vAlign w:val="center"/>
            <w:hideMark/>
          </w:tcPr>
          <w:p w14:paraId="7AAE0851"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High</w:t>
            </w:r>
          </w:p>
        </w:tc>
        <w:tc>
          <w:tcPr>
            <w:tcW w:w="2522" w:type="dxa"/>
            <w:vAlign w:val="center"/>
            <w:hideMark/>
          </w:tcPr>
          <w:p w14:paraId="0181FA2D"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Moderate</w:t>
            </w:r>
          </w:p>
        </w:tc>
        <w:tc>
          <w:tcPr>
            <w:tcW w:w="1939" w:type="dxa"/>
            <w:vAlign w:val="center"/>
            <w:hideMark/>
          </w:tcPr>
          <w:p w14:paraId="72672F71"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Low</w:t>
            </w:r>
          </w:p>
        </w:tc>
      </w:tr>
      <w:tr w:rsidR="009D79B0" w:rsidRPr="004E5A48" w14:paraId="47EB36C2" w14:textId="77777777" w:rsidTr="007E6A4E">
        <w:trPr>
          <w:tblCellSpacing w:w="15" w:type="dxa"/>
        </w:trPr>
        <w:tc>
          <w:tcPr>
            <w:tcW w:w="2360" w:type="dxa"/>
            <w:vAlign w:val="center"/>
            <w:hideMark/>
          </w:tcPr>
          <w:p w14:paraId="74981DD1"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Food-delivery worker</w:t>
            </w:r>
          </w:p>
        </w:tc>
        <w:tc>
          <w:tcPr>
            <w:tcW w:w="1671" w:type="dxa"/>
            <w:vAlign w:val="center"/>
            <w:hideMark/>
          </w:tcPr>
          <w:p w14:paraId="0ABCDBBB"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High</w:t>
            </w:r>
          </w:p>
        </w:tc>
        <w:tc>
          <w:tcPr>
            <w:tcW w:w="2522" w:type="dxa"/>
            <w:vAlign w:val="center"/>
            <w:hideMark/>
          </w:tcPr>
          <w:p w14:paraId="0A4651B4"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Moderate</w:t>
            </w:r>
          </w:p>
        </w:tc>
        <w:tc>
          <w:tcPr>
            <w:tcW w:w="1939" w:type="dxa"/>
            <w:vAlign w:val="center"/>
            <w:hideMark/>
          </w:tcPr>
          <w:p w14:paraId="46B925C8"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Low</w:t>
            </w:r>
          </w:p>
        </w:tc>
      </w:tr>
      <w:tr w:rsidR="009D79B0" w:rsidRPr="004E5A48" w14:paraId="4324478F" w14:textId="77777777" w:rsidTr="007E6A4E">
        <w:trPr>
          <w:tblCellSpacing w:w="15" w:type="dxa"/>
        </w:trPr>
        <w:tc>
          <w:tcPr>
            <w:tcW w:w="2360" w:type="dxa"/>
            <w:vAlign w:val="center"/>
            <w:hideMark/>
          </w:tcPr>
          <w:p w14:paraId="25A086CC"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Online freelancer</w:t>
            </w:r>
          </w:p>
        </w:tc>
        <w:tc>
          <w:tcPr>
            <w:tcW w:w="1671" w:type="dxa"/>
            <w:vAlign w:val="center"/>
            <w:hideMark/>
          </w:tcPr>
          <w:p w14:paraId="1A5FFD2E"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High</w:t>
            </w:r>
          </w:p>
        </w:tc>
        <w:tc>
          <w:tcPr>
            <w:tcW w:w="2522" w:type="dxa"/>
            <w:vAlign w:val="center"/>
            <w:hideMark/>
          </w:tcPr>
          <w:p w14:paraId="6F80829C"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Moderate</w:t>
            </w:r>
          </w:p>
        </w:tc>
        <w:tc>
          <w:tcPr>
            <w:tcW w:w="1939" w:type="dxa"/>
            <w:vAlign w:val="center"/>
            <w:hideMark/>
          </w:tcPr>
          <w:p w14:paraId="301F7DA7"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Low</w:t>
            </w:r>
          </w:p>
        </w:tc>
      </w:tr>
      <w:tr w:rsidR="009D79B0" w:rsidRPr="004E5A48" w14:paraId="49E8AECA" w14:textId="77777777" w:rsidTr="007E6A4E">
        <w:trPr>
          <w:tblCellSpacing w:w="15" w:type="dxa"/>
        </w:trPr>
        <w:tc>
          <w:tcPr>
            <w:tcW w:w="2360" w:type="dxa"/>
            <w:vAlign w:val="center"/>
            <w:hideMark/>
          </w:tcPr>
          <w:p w14:paraId="61DA1542"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Social media seller</w:t>
            </w:r>
          </w:p>
        </w:tc>
        <w:tc>
          <w:tcPr>
            <w:tcW w:w="1671" w:type="dxa"/>
            <w:vAlign w:val="center"/>
            <w:hideMark/>
          </w:tcPr>
          <w:p w14:paraId="066E7CCA"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Moderate</w:t>
            </w:r>
          </w:p>
        </w:tc>
        <w:tc>
          <w:tcPr>
            <w:tcW w:w="2522" w:type="dxa"/>
            <w:vAlign w:val="center"/>
            <w:hideMark/>
          </w:tcPr>
          <w:p w14:paraId="57B615DE"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Low</w:t>
            </w:r>
          </w:p>
        </w:tc>
        <w:tc>
          <w:tcPr>
            <w:tcW w:w="1939" w:type="dxa"/>
            <w:vAlign w:val="center"/>
            <w:hideMark/>
          </w:tcPr>
          <w:p w14:paraId="7F71C03C"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None</w:t>
            </w:r>
          </w:p>
        </w:tc>
      </w:tr>
      <w:tr w:rsidR="009D79B0" w:rsidRPr="004E5A48" w14:paraId="4CD1B7C8" w14:textId="77777777" w:rsidTr="007E6A4E">
        <w:trPr>
          <w:tblCellSpacing w:w="15" w:type="dxa"/>
        </w:trPr>
        <w:tc>
          <w:tcPr>
            <w:tcW w:w="2360" w:type="dxa"/>
            <w:vAlign w:val="center"/>
            <w:hideMark/>
          </w:tcPr>
          <w:p w14:paraId="7E8651EC"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Digital content creator</w:t>
            </w:r>
          </w:p>
        </w:tc>
        <w:tc>
          <w:tcPr>
            <w:tcW w:w="1671" w:type="dxa"/>
            <w:vAlign w:val="center"/>
            <w:hideMark/>
          </w:tcPr>
          <w:p w14:paraId="0201C313"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High</w:t>
            </w:r>
          </w:p>
        </w:tc>
        <w:tc>
          <w:tcPr>
            <w:tcW w:w="2522" w:type="dxa"/>
            <w:vAlign w:val="center"/>
            <w:hideMark/>
          </w:tcPr>
          <w:p w14:paraId="18A55897"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Variable</w:t>
            </w:r>
          </w:p>
        </w:tc>
        <w:tc>
          <w:tcPr>
            <w:tcW w:w="1939" w:type="dxa"/>
            <w:vAlign w:val="center"/>
            <w:hideMark/>
          </w:tcPr>
          <w:p w14:paraId="1A44648A"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Limited</w:t>
            </w:r>
          </w:p>
        </w:tc>
      </w:tr>
    </w:tbl>
    <w:p w14:paraId="24844F98" w14:textId="77777777" w:rsidR="00D671B1" w:rsidRPr="004E5A48" w:rsidRDefault="00000000" w:rsidP="004A5EFE">
      <w:pPr>
        <w:spacing w:after="240" w:line="240" w:lineRule="auto"/>
        <w:jc w:val="both"/>
        <w:rPr>
          <w:rFonts w:ascii="Arial Nova Cond" w:hAnsi="Arial Nova Cond"/>
          <w:sz w:val="20"/>
          <w:szCs w:val="20"/>
          <w:lang w:val="en-US"/>
        </w:rPr>
      </w:pPr>
      <w:r w:rsidRPr="004E5A48">
        <w:rPr>
          <w:rFonts w:ascii="Arial Nova Cond" w:hAnsi="Arial Nova Cond"/>
          <w:sz w:val="20"/>
          <w:szCs w:val="20"/>
          <w:lang w:val="en-US"/>
        </w:rPr>
        <w:t xml:space="preserve">Source: </w:t>
      </w:r>
      <w:r w:rsidR="00F13A41" w:rsidRPr="004E5A48">
        <w:rPr>
          <w:rFonts w:ascii="Arial Nova Cond" w:hAnsi="Arial Nova Cond"/>
          <w:sz w:val="20"/>
          <w:szCs w:val="20"/>
          <w:lang w:val="en-US"/>
        </w:rPr>
        <w:t>A</w:t>
      </w:r>
      <w:r w:rsidRPr="004E5A48">
        <w:rPr>
          <w:rFonts w:ascii="Arial Nova Cond" w:hAnsi="Arial Nova Cond"/>
          <w:sz w:val="20"/>
          <w:szCs w:val="20"/>
          <w:lang w:val="en-US"/>
        </w:rPr>
        <w:t>nalytical construction informed by Hart (1973), Chen (2012), Heeks (2021), ILO (2021), Wood et al. (2019), Cook and Rani (2023), and Williams (2023). The rows are illustrative ideal-types rather than classifications directly reported by any single source. Digital visibility: High = activity routinely generates platform/payment/account records; Moderate = some transactions or interactions are digitally recorded, but coverage is incomplete. Institutional integration: Moderate = participation in at least one formal system (e.g., taxation, payments, registration) without comprehensive integration; Low = only sporadic or narrow formal-system participation; Variable = heterogeneous across jurisdictions/business models. Labour protection: Low/Limited = some protections may exist, but substantial employment or social-protection gaps remain; None = the ideal-type assumes no employment-linked protection. Actual status varies by country, contract and platform.</w:t>
      </w:r>
    </w:p>
    <w:p w14:paraId="02EE4F31"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These examples illustrate some of the limitations of treating formality and informality as exhaustive binary categories in digitally mediated activities.</w:t>
      </w:r>
    </w:p>
    <w:p w14:paraId="0B60BD88"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Digitalization does not simply move workers from informality to formality. Instead, it creates intermediate institutional arrangements characterized by varying combinations of visibility, regulation, and protection.</w:t>
      </w:r>
    </w:p>
    <w:p w14:paraId="1953BCC3"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 effects of digitalization are also unevenly distributed across social groups.</w:t>
      </w:r>
    </w:p>
    <w:p w14:paraId="3C7D51B5"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Access to digital technologies varies according to:</w:t>
      </w:r>
    </w:p>
    <w:p w14:paraId="2EB46548" w14:textId="77777777" w:rsidR="004F5F26" w:rsidRPr="004E5A48" w:rsidRDefault="00000000" w:rsidP="004A5EFE">
      <w:pPr>
        <w:numPr>
          <w:ilvl w:val="0"/>
          <w:numId w:val="11"/>
        </w:numPr>
        <w:spacing w:after="60" w:line="276" w:lineRule="auto"/>
        <w:jc w:val="both"/>
        <w:rPr>
          <w:rFonts w:ascii="Arial Nova Cond" w:hAnsi="Arial Nova Cond"/>
          <w:sz w:val="24"/>
          <w:lang w:val="en-US"/>
        </w:rPr>
      </w:pPr>
      <w:r w:rsidRPr="004E5A48">
        <w:rPr>
          <w:rFonts w:ascii="Arial Nova Cond" w:hAnsi="Arial Nova Cond"/>
          <w:sz w:val="24"/>
        </w:rPr>
        <w:lastRenderedPageBreak/>
        <w:t>gender;</w:t>
      </w:r>
    </w:p>
    <w:p w14:paraId="599E591D" w14:textId="77777777" w:rsidR="004F5F26" w:rsidRPr="004E5A48" w:rsidRDefault="00000000" w:rsidP="004A5EFE">
      <w:pPr>
        <w:numPr>
          <w:ilvl w:val="0"/>
          <w:numId w:val="11"/>
        </w:numPr>
        <w:spacing w:after="60" w:line="276" w:lineRule="auto"/>
        <w:jc w:val="both"/>
        <w:rPr>
          <w:rFonts w:ascii="Arial Nova Cond" w:hAnsi="Arial Nova Cond"/>
          <w:sz w:val="24"/>
          <w:lang w:val="en-US"/>
        </w:rPr>
      </w:pPr>
      <w:r w:rsidRPr="004E5A48">
        <w:rPr>
          <w:rFonts w:ascii="Arial Nova Cond" w:hAnsi="Arial Nova Cond"/>
          <w:sz w:val="24"/>
        </w:rPr>
        <w:t>age;</w:t>
      </w:r>
    </w:p>
    <w:p w14:paraId="2ACDA532" w14:textId="77777777" w:rsidR="004F5F26" w:rsidRPr="004E5A48" w:rsidRDefault="00000000" w:rsidP="004A5EFE">
      <w:pPr>
        <w:numPr>
          <w:ilvl w:val="0"/>
          <w:numId w:val="11"/>
        </w:numPr>
        <w:spacing w:after="60" w:line="276" w:lineRule="auto"/>
        <w:jc w:val="both"/>
        <w:rPr>
          <w:rFonts w:ascii="Arial Nova Cond" w:hAnsi="Arial Nova Cond"/>
          <w:sz w:val="24"/>
          <w:lang w:val="en-US"/>
        </w:rPr>
      </w:pPr>
      <w:r w:rsidRPr="004E5A48">
        <w:rPr>
          <w:rFonts w:ascii="Arial Nova Cond" w:hAnsi="Arial Nova Cond"/>
          <w:sz w:val="24"/>
        </w:rPr>
        <w:t>education;</w:t>
      </w:r>
    </w:p>
    <w:p w14:paraId="2E474C14" w14:textId="77777777" w:rsidR="004F5F26" w:rsidRPr="004E5A48" w:rsidRDefault="00000000" w:rsidP="004A5EFE">
      <w:pPr>
        <w:numPr>
          <w:ilvl w:val="0"/>
          <w:numId w:val="11"/>
        </w:numPr>
        <w:spacing w:after="60" w:line="276" w:lineRule="auto"/>
        <w:jc w:val="both"/>
        <w:rPr>
          <w:rFonts w:ascii="Arial Nova Cond" w:hAnsi="Arial Nova Cond"/>
          <w:sz w:val="24"/>
          <w:lang w:val="en-US"/>
        </w:rPr>
      </w:pPr>
      <w:r w:rsidRPr="004E5A48">
        <w:rPr>
          <w:rFonts w:ascii="Arial Nova Cond" w:hAnsi="Arial Nova Cond"/>
          <w:sz w:val="24"/>
        </w:rPr>
        <w:t>income;</w:t>
      </w:r>
    </w:p>
    <w:p w14:paraId="003E57BD" w14:textId="77777777" w:rsidR="004F5F26" w:rsidRPr="004E5A48" w:rsidRDefault="00000000" w:rsidP="004A5EFE">
      <w:pPr>
        <w:numPr>
          <w:ilvl w:val="0"/>
          <w:numId w:val="11"/>
        </w:numPr>
        <w:spacing w:after="60" w:line="276" w:lineRule="auto"/>
        <w:jc w:val="both"/>
        <w:rPr>
          <w:rFonts w:ascii="Arial Nova Cond" w:hAnsi="Arial Nova Cond"/>
          <w:sz w:val="24"/>
          <w:lang w:val="en-US"/>
        </w:rPr>
      </w:pPr>
      <w:r w:rsidRPr="004E5A48">
        <w:rPr>
          <w:rFonts w:ascii="Arial Nova Cond" w:hAnsi="Arial Nova Cond"/>
          <w:sz w:val="24"/>
        </w:rPr>
        <w:t>geographic location.</w:t>
      </w:r>
    </w:p>
    <w:p w14:paraId="72B8912C"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Women frequently face barriers related to digital literacy, internet access, and access to financial resources (Hunt &amp; Samman, 2019).</w:t>
      </w:r>
    </w:p>
    <w:p w14:paraId="2DA648F0"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Similarly, young workers are disproportionately represented in platform work and other forms of digitally mediated employment.</w:t>
      </w:r>
    </w:p>
    <w:p w14:paraId="5F48DC1A"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These patterns suggest that digitalization may simultaneously expand opportunities and reproduce existing inequalities.</w:t>
      </w:r>
    </w:p>
    <w:p w14:paraId="0930C523" w14:textId="77777777" w:rsidR="004F5F26"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Consequently, analyses of hybrid informality must account for social differences in access to digital resources and institutional protections.</w:t>
      </w:r>
    </w:p>
    <w:p w14:paraId="2F079493" w14:textId="77777777" w:rsidR="00D53960" w:rsidRPr="004E5A48" w:rsidRDefault="00000000" w:rsidP="004A5EFE">
      <w:pPr>
        <w:pStyle w:val="Ttulo1"/>
        <w:rPr>
          <w:rFonts w:ascii="Arial Nova Cond" w:hAnsi="Arial Nova Cond"/>
          <w:sz w:val="24"/>
          <w:szCs w:val="24"/>
        </w:rPr>
      </w:pPr>
      <w:r w:rsidRPr="004E5A48">
        <w:rPr>
          <w:rFonts w:ascii="Arial Nova Cond" w:hAnsi="Arial Nova Cond"/>
          <w:sz w:val="24"/>
          <w:szCs w:val="24"/>
        </w:rPr>
        <w:t>5. Measurement Challenges and Governance</w:t>
      </w:r>
    </w:p>
    <w:p w14:paraId="50DBA278"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 xml:space="preserve">Informality is conventionally measured through labour-force and enterprise surveys or indirect macroeconomic techniques (ILO, 2018; Medina &amp; Schneider, 2019). Digital work complicates each approach because workers may combine wage employment, self-employment, platform </w:t>
      </w:r>
      <w:r w:rsidR="00235BE2" w:rsidRPr="004E5A48">
        <w:rPr>
          <w:rFonts w:ascii="Arial Nova Cond" w:hAnsi="Arial Nova Cond"/>
          <w:sz w:val="24"/>
          <w:lang w:val="en-US"/>
        </w:rPr>
        <w:t>work,</w:t>
      </w:r>
      <w:r w:rsidRPr="004E5A48">
        <w:rPr>
          <w:rFonts w:ascii="Arial Nova Cond" w:hAnsi="Arial Nova Cond"/>
          <w:sz w:val="24"/>
          <w:lang w:val="en-US"/>
        </w:rPr>
        <w:t xml:space="preserve"> and entrepreneurship; online enterprises may lack fixed establishments; and cross-border activities may escape national classifications. A further constraint is platform opacity: firms hold detailed </w:t>
      </w:r>
      <w:r w:rsidR="00235BE2" w:rsidRPr="004E5A48">
        <w:rPr>
          <w:rFonts w:ascii="Arial Nova Cond" w:hAnsi="Arial Nova Cond"/>
          <w:sz w:val="24"/>
          <w:lang w:val="en-US"/>
        </w:rPr>
        <w:t>transactions</w:t>
      </w:r>
      <w:r w:rsidRPr="004E5A48">
        <w:rPr>
          <w:rFonts w:ascii="Arial Nova Cond" w:hAnsi="Arial Nova Cond"/>
          <w:sz w:val="24"/>
          <w:lang w:val="en-US"/>
        </w:rPr>
        <w:t xml:space="preserve"> and work data that statistical agencies often cannot access. These problems strengthen the case for multidimensional measurement rather than abandoning established </w:t>
      </w:r>
      <w:r w:rsidR="002152FC" w:rsidRPr="004E5A48">
        <w:rPr>
          <w:rFonts w:ascii="Arial Nova Cond" w:hAnsi="Arial Nova Cond"/>
          <w:sz w:val="24"/>
          <w:lang w:val="en-US"/>
        </w:rPr>
        <w:t>surveys</w:t>
      </w:r>
      <w:r w:rsidRPr="004E5A48">
        <w:rPr>
          <w:rFonts w:ascii="Arial Nova Cond" w:hAnsi="Arial Nova Cond"/>
          <w:sz w:val="24"/>
          <w:lang w:val="en-US"/>
        </w:rPr>
        <w:t xml:space="preserve"> and administrative sources.</w:t>
      </w:r>
    </w:p>
    <w:p w14:paraId="14F4B1FC"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Administrative records, electronic invoicing, digital payments, and platform data can increase the observability of activities that conventional surveys capture imperfectly. International statistical guidance increasingly emphasizes access to platform-generated information (OECD, ILO, &amp; European Union, 2023). Machine-learning methods may help process these data, but evidence that they yield more valid or representative measures of informality remains limited; their value should be tested empirically rather than assumed.</w:t>
      </w:r>
    </w:p>
    <w:p w14:paraId="0A5CC29A"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These features create a case for adapting measurement approaches to multidimensional forms of institutional integration.</w:t>
      </w:r>
    </w:p>
    <w:p w14:paraId="23A24E50"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Traditional statistical systems often rely on binary classifications that distinguish workers as formal or informal.</w:t>
      </w:r>
    </w:p>
    <w:p w14:paraId="24A307AA"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lastRenderedPageBreak/>
        <w:t>Many digitally mediated activities, however, occupy intermediate positions, as the examples in Table 2 illustrate.</w:t>
      </w:r>
    </w:p>
    <w:p w14:paraId="1D69CBDE" w14:textId="77777777" w:rsidR="00D53960" w:rsidRPr="004E5A48" w:rsidRDefault="00000000" w:rsidP="004A5EFE">
      <w:pPr>
        <w:spacing w:after="0" w:line="240" w:lineRule="auto"/>
        <w:jc w:val="both"/>
        <w:rPr>
          <w:rFonts w:ascii="Arial Nova Cond" w:hAnsi="Arial Nova Cond"/>
          <w:b/>
          <w:bCs/>
          <w:sz w:val="24"/>
          <w:lang w:val="en-US"/>
        </w:rPr>
      </w:pPr>
      <w:r w:rsidRPr="004E5A48">
        <w:rPr>
          <w:rFonts w:ascii="Arial Nova Cond" w:hAnsi="Arial Nova Cond"/>
          <w:b/>
          <w:bCs/>
          <w:sz w:val="24"/>
          <w:lang w:val="en-US"/>
        </w:rPr>
        <w:t xml:space="preserve">Table </w:t>
      </w:r>
      <w:r w:rsidR="00F13A41" w:rsidRPr="004E5A48">
        <w:rPr>
          <w:rFonts w:ascii="Arial Nova Cond" w:hAnsi="Arial Nova Cond"/>
          <w:b/>
          <w:bCs/>
          <w:sz w:val="24"/>
          <w:lang w:val="en-US"/>
        </w:rPr>
        <w:t>4</w:t>
      </w:r>
      <w:r w:rsidRPr="004E5A48">
        <w:rPr>
          <w:rFonts w:ascii="Arial Nova Cond" w:hAnsi="Arial Nova Cond"/>
          <w:b/>
          <w:bCs/>
          <w:sz w:val="24"/>
          <w:lang w:val="en-US"/>
        </w:rPr>
        <w:t>.</w:t>
      </w:r>
      <w:r w:rsidRPr="004E5A48">
        <w:rPr>
          <w:rFonts w:ascii="Arial Nova Cond" w:hAnsi="Arial Nova Cond"/>
          <w:sz w:val="24"/>
          <w:lang w:val="en-US"/>
        </w:rPr>
        <w:t xml:space="preserve"> Measurement Dimensions of Hybrid Informality</w:t>
      </w:r>
    </w:p>
    <w:tbl>
      <w:tblPr>
        <w:tblW w:w="0" w:type="auto"/>
        <w:tblCellSpacing w:w="15" w:type="dxa"/>
        <w:tblBorders>
          <w:top w:val="single" w:sz="4" w:space="0" w:color="8C52FF"/>
          <w:left w:val="single" w:sz="4" w:space="0" w:color="8C52FF"/>
          <w:bottom w:val="single" w:sz="4" w:space="0" w:color="8C52FF"/>
          <w:right w:val="single" w:sz="4" w:space="0" w:color="8C52FF"/>
          <w:insideH w:val="single" w:sz="4" w:space="0" w:color="8C52FF"/>
          <w:insideV w:val="single" w:sz="4" w:space="0" w:color="8C52FF"/>
        </w:tblBorders>
        <w:tblCellMar>
          <w:top w:w="15" w:type="dxa"/>
          <w:left w:w="15" w:type="dxa"/>
          <w:bottom w:w="15" w:type="dxa"/>
          <w:right w:w="15" w:type="dxa"/>
        </w:tblCellMar>
        <w:tblLook w:val="04A0" w:firstRow="1" w:lastRow="0" w:firstColumn="1" w:lastColumn="0" w:noHBand="0" w:noVBand="1"/>
      </w:tblPr>
      <w:tblGrid>
        <w:gridCol w:w="2405"/>
        <w:gridCol w:w="2126"/>
        <w:gridCol w:w="2268"/>
        <w:gridCol w:w="1985"/>
      </w:tblGrid>
      <w:tr w:rsidR="009D79B0" w:rsidRPr="004E5A48" w14:paraId="374157CD" w14:textId="77777777" w:rsidTr="002152FC">
        <w:trPr>
          <w:tblCellSpacing w:w="15" w:type="dxa"/>
        </w:trPr>
        <w:tc>
          <w:tcPr>
            <w:tcW w:w="2360" w:type="dxa"/>
            <w:vAlign w:val="center"/>
            <w:hideMark/>
          </w:tcPr>
          <w:p w14:paraId="7EBEC595" w14:textId="77777777" w:rsidR="00D53960" w:rsidRPr="004E5A48" w:rsidRDefault="00000000" w:rsidP="004A5EFE">
            <w:pPr>
              <w:spacing w:after="60" w:line="240" w:lineRule="auto"/>
              <w:jc w:val="both"/>
              <w:rPr>
                <w:rFonts w:ascii="Arial Nova Cond" w:hAnsi="Arial Nova Cond"/>
                <w:b/>
                <w:bCs/>
                <w:sz w:val="24"/>
                <w:lang w:val="en-US"/>
              </w:rPr>
            </w:pPr>
            <w:r w:rsidRPr="004E5A48">
              <w:rPr>
                <w:rFonts w:ascii="Arial Nova Cond" w:hAnsi="Arial Nova Cond"/>
                <w:b/>
                <w:bCs/>
                <w:sz w:val="24"/>
                <w:lang w:val="en-US"/>
              </w:rPr>
              <w:t>Dimension</w:t>
            </w:r>
          </w:p>
        </w:tc>
        <w:tc>
          <w:tcPr>
            <w:tcW w:w="2096" w:type="dxa"/>
            <w:vAlign w:val="center"/>
            <w:hideMark/>
          </w:tcPr>
          <w:p w14:paraId="77AEDF55" w14:textId="77777777" w:rsidR="00D53960" w:rsidRPr="004E5A48" w:rsidRDefault="00000000" w:rsidP="004A5EFE">
            <w:pPr>
              <w:spacing w:after="60" w:line="240" w:lineRule="auto"/>
              <w:jc w:val="both"/>
              <w:rPr>
                <w:rFonts w:ascii="Arial Nova Cond" w:hAnsi="Arial Nova Cond"/>
                <w:b/>
                <w:bCs/>
                <w:sz w:val="24"/>
                <w:lang w:val="en-US"/>
              </w:rPr>
            </w:pPr>
            <w:r w:rsidRPr="004E5A48">
              <w:rPr>
                <w:rFonts w:ascii="Arial Nova Cond" w:hAnsi="Arial Nova Cond"/>
                <w:b/>
                <w:bCs/>
                <w:sz w:val="24"/>
                <w:lang w:val="en-US"/>
              </w:rPr>
              <w:t>Formal</w:t>
            </w:r>
          </w:p>
        </w:tc>
        <w:tc>
          <w:tcPr>
            <w:tcW w:w="2238" w:type="dxa"/>
            <w:vAlign w:val="center"/>
            <w:hideMark/>
          </w:tcPr>
          <w:p w14:paraId="0ABAC9FA" w14:textId="77777777" w:rsidR="00D53960" w:rsidRPr="004E5A48" w:rsidRDefault="00000000" w:rsidP="004A5EFE">
            <w:pPr>
              <w:spacing w:after="60" w:line="240" w:lineRule="auto"/>
              <w:jc w:val="both"/>
              <w:rPr>
                <w:rFonts w:ascii="Arial Nova Cond" w:hAnsi="Arial Nova Cond"/>
                <w:b/>
                <w:bCs/>
                <w:sz w:val="24"/>
                <w:lang w:val="en-US"/>
              </w:rPr>
            </w:pPr>
            <w:r w:rsidRPr="004E5A48">
              <w:rPr>
                <w:rFonts w:ascii="Arial Nova Cond" w:hAnsi="Arial Nova Cond"/>
                <w:b/>
                <w:bCs/>
                <w:sz w:val="24"/>
                <w:lang w:val="en-US"/>
              </w:rPr>
              <w:t>Hybrid</w:t>
            </w:r>
          </w:p>
        </w:tc>
        <w:tc>
          <w:tcPr>
            <w:tcW w:w="1940" w:type="dxa"/>
            <w:vAlign w:val="center"/>
            <w:hideMark/>
          </w:tcPr>
          <w:p w14:paraId="3AE3264E" w14:textId="77777777" w:rsidR="00D53960" w:rsidRPr="004E5A48" w:rsidRDefault="00000000" w:rsidP="004A5EFE">
            <w:pPr>
              <w:spacing w:after="60" w:line="240" w:lineRule="auto"/>
              <w:jc w:val="both"/>
              <w:rPr>
                <w:rFonts w:ascii="Arial Nova Cond" w:hAnsi="Arial Nova Cond"/>
                <w:b/>
                <w:bCs/>
                <w:sz w:val="24"/>
                <w:lang w:val="en-US"/>
              </w:rPr>
            </w:pPr>
            <w:r w:rsidRPr="004E5A48">
              <w:rPr>
                <w:rFonts w:ascii="Arial Nova Cond" w:hAnsi="Arial Nova Cond"/>
                <w:b/>
                <w:bCs/>
                <w:sz w:val="24"/>
                <w:lang w:val="en-US"/>
              </w:rPr>
              <w:t>Informal</w:t>
            </w:r>
          </w:p>
        </w:tc>
      </w:tr>
      <w:tr w:rsidR="009D79B0" w:rsidRPr="004E5A48" w14:paraId="73353400" w14:textId="77777777" w:rsidTr="002152FC">
        <w:trPr>
          <w:tblCellSpacing w:w="15" w:type="dxa"/>
        </w:trPr>
        <w:tc>
          <w:tcPr>
            <w:tcW w:w="2360" w:type="dxa"/>
            <w:vAlign w:val="center"/>
            <w:hideMark/>
          </w:tcPr>
          <w:p w14:paraId="60D228AA"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Digital visibility</w:t>
            </w:r>
          </w:p>
        </w:tc>
        <w:tc>
          <w:tcPr>
            <w:tcW w:w="2096" w:type="dxa"/>
            <w:vAlign w:val="center"/>
            <w:hideMark/>
          </w:tcPr>
          <w:p w14:paraId="796EEFC0"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High</w:t>
            </w:r>
          </w:p>
        </w:tc>
        <w:tc>
          <w:tcPr>
            <w:tcW w:w="2238" w:type="dxa"/>
            <w:vAlign w:val="center"/>
            <w:hideMark/>
          </w:tcPr>
          <w:p w14:paraId="2FF08B77"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High</w:t>
            </w:r>
          </w:p>
        </w:tc>
        <w:tc>
          <w:tcPr>
            <w:tcW w:w="1940" w:type="dxa"/>
            <w:vAlign w:val="center"/>
            <w:hideMark/>
          </w:tcPr>
          <w:p w14:paraId="3A2331AB"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Low</w:t>
            </w:r>
          </w:p>
        </w:tc>
      </w:tr>
      <w:tr w:rsidR="009D79B0" w:rsidRPr="004E5A48" w14:paraId="4D3B7FB2" w14:textId="77777777" w:rsidTr="002152FC">
        <w:trPr>
          <w:tblCellSpacing w:w="15" w:type="dxa"/>
        </w:trPr>
        <w:tc>
          <w:tcPr>
            <w:tcW w:w="2360" w:type="dxa"/>
            <w:vAlign w:val="center"/>
            <w:hideMark/>
          </w:tcPr>
          <w:p w14:paraId="5B18DDC2"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Tax registration</w:t>
            </w:r>
          </w:p>
        </w:tc>
        <w:tc>
          <w:tcPr>
            <w:tcW w:w="2096" w:type="dxa"/>
            <w:vAlign w:val="center"/>
            <w:hideMark/>
          </w:tcPr>
          <w:p w14:paraId="64003BC2"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Yes</w:t>
            </w:r>
          </w:p>
        </w:tc>
        <w:tc>
          <w:tcPr>
            <w:tcW w:w="2238" w:type="dxa"/>
            <w:vAlign w:val="center"/>
            <w:hideMark/>
          </w:tcPr>
          <w:p w14:paraId="78016AF9"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Partial</w:t>
            </w:r>
          </w:p>
        </w:tc>
        <w:tc>
          <w:tcPr>
            <w:tcW w:w="1940" w:type="dxa"/>
            <w:vAlign w:val="center"/>
            <w:hideMark/>
          </w:tcPr>
          <w:p w14:paraId="6971C911"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No</w:t>
            </w:r>
          </w:p>
        </w:tc>
      </w:tr>
      <w:tr w:rsidR="009D79B0" w:rsidRPr="004E5A48" w14:paraId="3D3383C7" w14:textId="77777777" w:rsidTr="002152FC">
        <w:trPr>
          <w:tblCellSpacing w:w="15" w:type="dxa"/>
        </w:trPr>
        <w:tc>
          <w:tcPr>
            <w:tcW w:w="2360" w:type="dxa"/>
            <w:vAlign w:val="center"/>
            <w:hideMark/>
          </w:tcPr>
          <w:p w14:paraId="7E9EA66D"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Social protection</w:t>
            </w:r>
          </w:p>
        </w:tc>
        <w:tc>
          <w:tcPr>
            <w:tcW w:w="2096" w:type="dxa"/>
            <w:vAlign w:val="center"/>
            <w:hideMark/>
          </w:tcPr>
          <w:p w14:paraId="2763B0D7"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Yes</w:t>
            </w:r>
          </w:p>
        </w:tc>
        <w:tc>
          <w:tcPr>
            <w:tcW w:w="2238" w:type="dxa"/>
            <w:vAlign w:val="center"/>
            <w:hideMark/>
          </w:tcPr>
          <w:p w14:paraId="3683EAB8"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Partial</w:t>
            </w:r>
          </w:p>
        </w:tc>
        <w:tc>
          <w:tcPr>
            <w:tcW w:w="1940" w:type="dxa"/>
            <w:vAlign w:val="center"/>
            <w:hideMark/>
          </w:tcPr>
          <w:p w14:paraId="7DD05AAC"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No</w:t>
            </w:r>
          </w:p>
        </w:tc>
      </w:tr>
      <w:tr w:rsidR="009D79B0" w:rsidRPr="004E5A48" w14:paraId="4890493F" w14:textId="77777777" w:rsidTr="002152FC">
        <w:trPr>
          <w:tblCellSpacing w:w="15" w:type="dxa"/>
        </w:trPr>
        <w:tc>
          <w:tcPr>
            <w:tcW w:w="2360" w:type="dxa"/>
            <w:vAlign w:val="center"/>
            <w:hideMark/>
          </w:tcPr>
          <w:p w14:paraId="7C53368A"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Labour rights</w:t>
            </w:r>
          </w:p>
        </w:tc>
        <w:tc>
          <w:tcPr>
            <w:tcW w:w="2096" w:type="dxa"/>
            <w:vAlign w:val="center"/>
            <w:hideMark/>
          </w:tcPr>
          <w:p w14:paraId="1F6056C1"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Yes</w:t>
            </w:r>
          </w:p>
        </w:tc>
        <w:tc>
          <w:tcPr>
            <w:tcW w:w="2238" w:type="dxa"/>
            <w:vAlign w:val="center"/>
            <w:hideMark/>
          </w:tcPr>
          <w:p w14:paraId="4DECDF16"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Limited</w:t>
            </w:r>
          </w:p>
        </w:tc>
        <w:tc>
          <w:tcPr>
            <w:tcW w:w="1940" w:type="dxa"/>
            <w:vAlign w:val="center"/>
            <w:hideMark/>
          </w:tcPr>
          <w:p w14:paraId="133738F2"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No</w:t>
            </w:r>
          </w:p>
        </w:tc>
      </w:tr>
      <w:tr w:rsidR="009D79B0" w:rsidRPr="004E5A48" w14:paraId="2E797642" w14:textId="77777777" w:rsidTr="002152FC">
        <w:trPr>
          <w:tblCellSpacing w:w="15" w:type="dxa"/>
        </w:trPr>
        <w:tc>
          <w:tcPr>
            <w:tcW w:w="2360" w:type="dxa"/>
            <w:vAlign w:val="center"/>
            <w:hideMark/>
          </w:tcPr>
          <w:p w14:paraId="6256CB9A"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Administrative records</w:t>
            </w:r>
          </w:p>
        </w:tc>
        <w:tc>
          <w:tcPr>
            <w:tcW w:w="2096" w:type="dxa"/>
            <w:vAlign w:val="center"/>
            <w:hideMark/>
          </w:tcPr>
          <w:p w14:paraId="36CDCB5B"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Complete</w:t>
            </w:r>
          </w:p>
        </w:tc>
        <w:tc>
          <w:tcPr>
            <w:tcW w:w="2238" w:type="dxa"/>
            <w:vAlign w:val="center"/>
            <w:hideMark/>
          </w:tcPr>
          <w:p w14:paraId="0FFF37EE"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Partial</w:t>
            </w:r>
          </w:p>
        </w:tc>
        <w:tc>
          <w:tcPr>
            <w:tcW w:w="1940" w:type="dxa"/>
            <w:vAlign w:val="center"/>
            <w:hideMark/>
          </w:tcPr>
          <w:p w14:paraId="4D115F15" w14:textId="77777777" w:rsidR="00D5396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Limited</w:t>
            </w:r>
          </w:p>
        </w:tc>
      </w:tr>
    </w:tbl>
    <w:p w14:paraId="04BA7C5A" w14:textId="77777777" w:rsidR="00594383" w:rsidRPr="004E5A48" w:rsidRDefault="00000000" w:rsidP="004A5EFE">
      <w:pPr>
        <w:spacing w:after="240" w:line="240" w:lineRule="auto"/>
        <w:jc w:val="both"/>
        <w:rPr>
          <w:rFonts w:ascii="Arial Nova Cond" w:hAnsi="Arial Nova Cond"/>
          <w:sz w:val="20"/>
          <w:szCs w:val="20"/>
          <w:lang w:val="en-US"/>
        </w:rPr>
      </w:pPr>
      <w:r w:rsidRPr="004E5A48">
        <w:rPr>
          <w:rFonts w:ascii="Arial Nova Cond" w:hAnsi="Arial Nova Cond"/>
          <w:sz w:val="20"/>
          <w:szCs w:val="20"/>
          <w:lang w:val="en-US"/>
        </w:rPr>
        <w:t xml:space="preserve">Source: </w:t>
      </w:r>
      <w:r w:rsidR="00F13A41" w:rsidRPr="004E5A48">
        <w:rPr>
          <w:rFonts w:ascii="Arial Nova Cond" w:hAnsi="Arial Nova Cond"/>
          <w:sz w:val="20"/>
          <w:szCs w:val="20"/>
          <w:lang w:val="en-US"/>
        </w:rPr>
        <w:t>A</w:t>
      </w:r>
      <w:r w:rsidRPr="004E5A48">
        <w:rPr>
          <w:rFonts w:ascii="Arial Nova Cond" w:hAnsi="Arial Nova Cond"/>
          <w:sz w:val="20"/>
          <w:szCs w:val="20"/>
          <w:lang w:val="en-US"/>
        </w:rPr>
        <w:t>nalytical measurement framework informed by Hart (1973), Chen (2012), Heeks (2021), ILO (2021), Wood et al. (2019), Cook and Rani (2023), and Williams (2023). The table is a conceptual typology developed for this review, not a classification reproduced from the cited literature. High/complete = the dimension is expected to be systematically present or recorded; Partial = present for some components but not comprehensively; Limited/low = weak, incomplete, or irregular coverage; Yes/No denote the ideal-typical endpoints. These categories are heuristic and require empirical validation before use as a statistical scale.</w:t>
      </w:r>
    </w:p>
    <w:p w14:paraId="014128EB"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This framework suggests that informality should increasingly be measured along multiple dimensions rather than through binary classifications.</w:t>
      </w:r>
    </w:p>
    <w:p w14:paraId="3BCB76E5"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Future statistical systems may need to develop composite indicators capable of capturing varying degrees of institutional integration.</w:t>
      </w:r>
    </w:p>
    <w:p w14:paraId="079CF986"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 xml:space="preserve">The OECD, ILO and European Union (2023) have begun adapting statistical frameworks to platform work, but international comparability remains constrained by differences in data access and statistical capacity. A practical agenda is to integrate surveys, administrative records, platform </w:t>
      </w:r>
      <w:r w:rsidR="002152FC" w:rsidRPr="004E5A48">
        <w:rPr>
          <w:rFonts w:ascii="Arial Nova Cond" w:hAnsi="Arial Nova Cond"/>
          <w:sz w:val="24"/>
          <w:lang w:val="en-US"/>
        </w:rPr>
        <w:t>information,</w:t>
      </w:r>
      <w:r w:rsidRPr="004E5A48">
        <w:rPr>
          <w:rFonts w:ascii="Arial Nova Cond" w:hAnsi="Arial Nova Cond"/>
          <w:sz w:val="24"/>
          <w:lang w:val="en-US"/>
        </w:rPr>
        <w:t xml:space="preserve"> and transaction data while testing whether multidimensional indicators of institutional integration improve on binary formal–informal classifications.</w:t>
      </w:r>
    </w:p>
    <w:p w14:paraId="2C1D4FD0"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Digital government can reduce administrative costs and connect citizens and firms to registration, taxation, banking and social programmes through interoperable databases, online services and digital identity (Williams, 2023; OECD, 2023; United Nations, 2022; World Bank, 2021). Evidence from systems such as Estonia's digital administration and India's Aadhaar illustrates gains in administrative access and state capacity, but institutional visibility does not itself guarantee labour-market formalization. Effects depend on governance quality, implementation capacity, and safeguards for inclusion (Muralidharan et al., 2021; Maiti &amp; Khari, 2025).</w:t>
      </w:r>
    </w:p>
    <w:p w14:paraId="7B8BB8FF"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Tax compliance is another important dimension of digital governance.</w:t>
      </w:r>
    </w:p>
    <w:p w14:paraId="3A45180E" w14:textId="77777777" w:rsidR="00D53960" w:rsidRPr="004E5A48" w:rsidRDefault="00000000" w:rsidP="000C0D83">
      <w:pPr>
        <w:spacing w:after="60" w:line="276" w:lineRule="auto"/>
        <w:jc w:val="both"/>
        <w:rPr>
          <w:rFonts w:ascii="Arial Nova Cond" w:hAnsi="Arial Nova Cond"/>
          <w:sz w:val="24"/>
          <w:lang w:val="en-US"/>
        </w:rPr>
      </w:pPr>
      <w:r w:rsidRPr="004E5A48">
        <w:rPr>
          <w:rFonts w:ascii="Arial Nova Cond" w:hAnsi="Arial Nova Cond"/>
          <w:sz w:val="24"/>
          <w:lang w:val="en-US"/>
        </w:rPr>
        <w:lastRenderedPageBreak/>
        <w:t xml:space="preserve">Many governments have adopted digital taxation systems to improve transparency, reduce evasion, and strengthen fiscal capacity. These systems typically </w:t>
      </w:r>
      <w:r w:rsidR="009E331A" w:rsidRPr="004E5A48">
        <w:rPr>
          <w:rFonts w:ascii="Arial Nova Cond" w:hAnsi="Arial Nova Cond"/>
          <w:sz w:val="24"/>
          <w:lang w:val="en-US"/>
        </w:rPr>
        <w:t>include</w:t>
      </w:r>
      <w:r w:rsidR="000C0D83" w:rsidRPr="004E5A48">
        <w:rPr>
          <w:rFonts w:ascii="Arial Nova Cond" w:hAnsi="Arial Nova Cond"/>
          <w:sz w:val="24"/>
          <w:lang w:val="en-US"/>
        </w:rPr>
        <w:t xml:space="preserve"> </w:t>
      </w:r>
      <w:r w:rsidRPr="004E5A48">
        <w:rPr>
          <w:rFonts w:ascii="Arial Nova Cond" w:hAnsi="Arial Nova Cond"/>
          <w:sz w:val="24"/>
          <w:lang w:val="en-US"/>
        </w:rPr>
        <w:t>electronic invoicing</w:t>
      </w:r>
      <w:r w:rsidR="000C0D83" w:rsidRPr="004E5A48">
        <w:rPr>
          <w:rFonts w:ascii="Arial Nova Cond" w:hAnsi="Arial Nova Cond"/>
          <w:sz w:val="24"/>
          <w:lang w:val="en-US"/>
        </w:rPr>
        <w:t xml:space="preserve">, </w:t>
      </w:r>
      <w:r w:rsidRPr="004E5A48">
        <w:rPr>
          <w:rFonts w:ascii="Arial Nova Cond" w:hAnsi="Arial Nova Cond"/>
          <w:sz w:val="24"/>
          <w:lang w:val="en-US"/>
        </w:rPr>
        <w:t>real-time transaction reporting</w:t>
      </w:r>
      <w:r w:rsidR="000C0D83" w:rsidRPr="004E5A48">
        <w:rPr>
          <w:rFonts w:ascii="Arial Nova Cond" w:hAnsi="Arial Nova Cond"/>
          <w:sz w:val="24"/>
          <w:lang w:val="en-US"/>
        </w:rPr>
        <w:t xml:space="preserve">, </w:t>
      </w:r>
      <w:r w:rsidRPr="004E5A48">
        <w:rPr>
          <w:rFonts w:ascii="Arial Nova Cond" w:hAnsi="Arial Nova Cond"/>
          <w:sz w:val="24"/>
          <w:lang w:val="en-US"/>
        </w:rPr>
        <w:t>digital tax filing</w:t>
      </w:r>
      <w:r w:rsidR="000C0D83" w:rsidRPr="004E5A48">
        <w:rPr>
          <w:rFonts w:ascii="Arial Nova Cond" w:hAnsi="Arial Nova Cond"/>
          <w:sz w:val="24"/>
          <w:lang w:val="en-US"/>
        </w:rPr>
        <w:t xml:space="preserve">, and </w:t>
      </w:r>
      <w:r w:rsidRPr="004E5A48">
        <w:rPr>
          <w:rFonts w:ascii="Arial Nova Cond" w:hAnsi="Arial Nova Cond"/>
          <w:sz w:val="24"/>
          <w:lang w:val="en-US"/>
        </w:rPr>
        <w:t>integrated administrative databases.</w:t>
      </w:r>
    </w:p>
    <w:p w14:paraId="07B8B006"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Latin America has been an important region for the development and diffusion of digital tax-administration instruments.</w:t>
      </w:r>
    </w:p>
    <w:p w14:paraId="53458EF9"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i/>
          <w:iCs/>
          <w:sz w:val="24"/>
          <w:lang w:val="en-US"/>
        </w:rPr>
        <w:t>Brazil's Nota Fiscal Eletrônica</w:t>
      </w:r>
      <w:r w:rsidRPr="004E5A48">
        <w:rPr>
          <w:rFonts w:ascii="Arial Nova Cond" w:hAnsi="Arial Nova Cond"/>
          <w:sz w:val="24"/>
          <w:lang w:val="en-US"/>
        </w:rPr>
        <w:t xml:space="preserve"> and </w:t>
      </w:r>
      <w:r w:rsidRPr="004E5A48">
        <w:rPr>
          <w:rFonts w:ascii="Arial Nova Cond" w:hAnsi="Arial Nova Cond"/>
          <w:i/>
          <w:iCs/>
          <w:sz w:val="24"/>
          <w:lang w:val="en-US"/>
        </w:rPr>
        <w:t>Mexico's Comprobante Fiscal Digital por Internet</w:t>
      </w:r>
      <w:r w:rsidRPr="004E5A48">
        <w:rPr>
          <w:rFonts w:ascii="Arial Nova Cond" w:hAnsi="Arial Nova Cond"/>
          <w:sz w:val="24"/>
          <w:lang w:val="en-US"/>
        </w:rPr>
        <w:t xml:space="preserve"> (CFDI) are frequently cited as pioneering examples of digital tax administration (OECD, 2023).</w:t>
      </w:r>
    </w:p>
    <w:p w14:paraId="2E8ADA86" w14:textId="77777777" w:rsidR="00D53960" w:rsidRPr="004E5A48" w:rsidRDefault="00000000" w:rsidP="00676C6C">
      <w:pPr>
        <w:spacing w:after="60" w:line="276" w:lineRule="auto"/>
        <w:jc w:val="both"/>
        <w:rPr>
          <w:rFonts w:ascii="Arial Nova Cond" w:hAnsi="Arial Nova Cond"/>
          <w:sz w:val="24"/>
          <w:lang w:val="en-US"/>
        </w:rPr>
      </w:pPr>
      <w:r w:rsidRPr="004E5A48">
        <w:rPr>
          <w:rFonts w:ascii="Arial Nova Cond" w:hAnsi="Arial Nova Cond"/>
          <w:sz w:val="24"/>
          <w:lang w:val="en-US"/>
        </w:rPr>
        <w:t>Empirical evidence suggests that electronic invoicing increases tax compliance, reduces opportunities for fraud</w:t>
      </w:r>
      <w:r w:rsidR="00676C6C" w:rsidRPr="004E5A48">
        <w:rPr>
          <w:rFonts w:ascii="Arial Nova Cond" w:hAnsi="Arial Nova Cond"/>
          <w:sz w:val="24"/>
          <w:lang w:val="en-US"/>
        </w:rPr>
        <w:t xml:space="preserve">, </w:t>
      </w:r>
      <w:r w:rsidRPr="004E5A48">
        <w:rPr>
          <w:rFonts w:ascii="Arial Nova Cond" w:hAnsi="Arial Nova Cond"/>
          <w:sz w:val="24"/>
          <w:lang w:val="en-US"/>
        </w:rPr>
        <w:t>improves monitoring capacity</w:t>
      </w:r>
      <w:r w:rsidR="00676C6C" w:rsidRPr="004E5A48">
        <w:rPr>
          <w:rFonts w:ascii="Arial Nova Cond" w:hAnsi="Arial Nova Cond"/>
          <w:sz w:val="24"/>
          <w:lang w:val="en-US"/>
        </w:rPr>
        <w:t xml:space="preserve">, and </w:t>
      </w:r>
      <w:r w:rsidRPr="004E5A48">
        <w:rPr>
          <w:rFonts w:ascii="Arial Nova Cond" w:hAnsi="Arial Nova Cond"/>
          <w:sz w:val="24"/>
          <w:lang w:val="en-US"/>
        </w:rPr>
        <w:t>increases transaction transparency.</w:t>
      </w:r>
    </w:p>
    <w:p w14:paraId="1FEE0805"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For informal enterprises, digital taxation systems create incentives for institutional integration while simultaneously increasing economic visibility.</w:t>
      </w:r>
    </w:p>
    <w:p w14:paraId="09B66A48"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However, the literature emphasizes that compliance costs remain important. Small enterprises may face difficulties adapting to digital reporting requirements because of limited technological resources and administrative capabilities (Williams, 2023).</w:t>
      </w:r>
    </w:p>
    <w:p w14:paraId="3618040E" w14:textId="77777777" w:rsidR="00D5396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Consequently, successful digital taxation reforms often combine enforcement mechanisms with technical support and simplification measures.</w:t>
      </w:r>
    </w:p>
    <w:p w14:paraId="526053E4"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Platform work exposes a central regulatory ambiguity: workers may be legally independent while platforms exercise substantial control over pricing, task allocation, evaluation, and discipline (Wood et al., 2019; De Stefano, 2022). Regulatory responses range from contractor models to employee classification and intermediate categories. The European Union's Platform Work Directive and Spain's Rider Law emphasize employment classification and algorithmic transparency, whereas many Latin American initiatives place greater weight on digital inclusion, tax administration</w:t>
      </w:r>
      <w:r w:rsidR="00BD403D" w:rsidRPr="004E5A48">
        <w:rPr>
          <w:rFonts w:ascii="Arial Nova Cond" w:hAnsi="Arial Nova Cond"/>
          <w:sz w:val="24"/>
          <w:lang w:val="en-US"/>
        </w:rPr>
        <w:t>,</w:t>
      </w:r>
      <w:r w:rsidRPr="004E5A48">
        <w:rPr>
          <w:rFonts w:ascii="Arial Nova Cond" w:hAnsi="Arial Nova Cond"/>
          <w:sz w:val="24"/>
          <w:lang w:val="en-US"/>
        </w:rPr>
        <w:t xml:space="preserve"> and entrepreneurship. Across regions, the evidence indicates that regulatory design and institutional capacity condition whether greater digital visibility translates into stronger protection or only partial integration (ILO, 2021; European Parliament &amp; Council of the European Union, 2024).</w:t>
      </w:r>
    </w:p>
    <w:p w14:paraId="547F449E" w14:textId="77777777" w:rsidR="00CB41E0" w:rsidRPr="004E5A48" w:rsidRDefault="00000000" w:rsidP="004A5EFE">
      <w:pPr>
        <w:rPr>
          <w:rFonts w:ascii="Arial Nova Cond" w:hAnsi="Arial Nova Cond"/>
          <w:sz w:val="24"/>
          <w:lang w:val="en-US"/>
        </w:rPr>
      </w:pPr>
      <w:r w:rsidRPr="004E5A48">
        <w:rPr>
          <w:rFonts w:ascii="Arial Nova Cond" w:hAnsi="Arial Nova Cond"/>
          <w:sz w:val="24"/>
          <w:lang w:val="en-US"/>
        </w:rPr>
        <w:t xml:space="preserve">Evidence on AI and blockchain is </w:t>
      </w:r>
      <w:r w:rsidR="000F1CD1" w:rsidRPr="004E5A48">
        <w:rPr>
          <w:rFonts w:ascii="Arial Nova Cond" w:hAnsi="Arial Nova Cond"/>
          <w:sz w:val="24"/>
          <w:lang w:val="en-US"/>
        </w:rPr>
        <w:t>less</w:t>
      </w:r>
      <w:r w:rsidRPr="004E5A48">
        <w:rPr>
          <w:rFonts w:ascii="Arial Nova Cond" w:hAnsi="Arial Nova Cond"/>
          <w:sz w:val="24"/>
          <w:lang w:val="en-US"/>
        </w:rPr>
        <w:t xml:space="preserve"> mature than evidence on platforms, fintech</w:t>
      </w:r>
      <w:r w:rsidR="00FB2872" w:rsidRPr="004E5A48">
        <w:rPr>
          <w:rFonts w:ascii="Arial Nova Cond" w:hAnsi="Arial Nova Cond"/>
          <w:sz w:val="24"/>
          <w:lang w:val="en-US"/>
        </w:rPr>
        <w:t>,</w:t>
      </w:r>
      <w:r w:rsidRPr="004E5A48">
        <w:rPr>
          <w:rFonts w:ascii="Arial Nova Cond" w:hAnsi="Arial Nova Cond"/>
          <w:sz w:val="24"/>
          <w:lang w:val="en-US"/>
        </w:rPr>
        <w:t xml:space="preserve"> and e-government. This section therefore distinguishes documented </w:t>
      </w:r>
      <w:r w:rsidR="000F1CD1" w:rsidRPr="004E5A48">
        <w:rPr>
          <w:rFonts w:ascii="Arial Nova Cond" w:hAnsi="Arial Nova Cond"/>
          <w:sz w:val="24"/>
          <w:lang w:val="en-US"/>
        </w:rPr>
        <w:t xml:space="preserve">applications, </w:t>
      </w:r>
      <w:r w:rsidRPr="004E5A48">
        <w:rPr>
          <w:rFonts w:ascii="Arial Nova Cond" w:hAnsi="Arial Nova Cond"/>
          <w:sz w:val="24"/>
          <w:lang w:val="en-US"/>
        </w:rPr>
        <w:t>especially algorithmic management—from prospective uses in measurement, compliance</w:t>
      </w:r>
      <w:r w:rsidR="00FB2872" w:rsidRPr="004E5A48">
        <w:rPr>
          <w:rFonts w:ascii="Arial Nova Cond" w:hAnsi="Arial Nova Cond"/>
          <w:sz w:val="24"/>
          <w:lang w:val="en-US"/>
        </w:rPr>
        <w:t>,</w:t>
      </w:r>
      <w:r w:rsidRPr="004E5A48">
        <w:rPr>
          <w:rFonts w:ascii="Arial Nova Cond" w:hAnsi="Arial Nova Cond"/>
          <w:sz w:val="24"/>
          <w:lang w:val="en-US"/>
        </w:rPr>
        <w:t xml:space="preserve"> and formalization.</w:t>
      </w:r>
    </w:p>
    <w:p w14:paraId="317845BB"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A growing body of research examines the implications of AI for employment and labour markets (Autor, 2015, pp. 3–30; Acemoglu &amp; Restrepo, 2019, pp. 3–30; Brynjolfsson &amp; McAfee, 2014).</w:t>
      </w:r>
    </w:p>
    <w:p w14:paraId="6E17D2B9"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 xml:space="preserve">Research on AI and labour markets commonly distinguishes three channels—automation, augmentation, and organizational reconfiguration—but the magnitude and distribution of </w:t>
      </w:r>
      <w:r w:rsidRPr="004E5A48">
        <w:rPr>
          <w:rFonts w:ascii="Arial Nova Cond" w:hAnsi="Arial Nova Cond"/>
          <w:sz w:val="24"/>
          <w:lang w:val="en-US"/>
        </w:rPr>
        <w:lastRenderedPageBreak/>
        <w:t>these effects remain context-dependent, and their specific consequences for informal employment are much less firmly established (Acemoglu &amp; Johnson, 2023; OECD, 2021):</w:t>
      </w:r>
    </w:p>
    <w:p w14:paraId="22FC0177" w14:textId="77777777" w:rsidR="00CB41E0" w:rsidRPr="004E5A48" w:rsidRDefault="00000000" w:rsidP="004A5EFE">
      <w:pPr>
        <w:spacing w:after="60" w:line="276" w:lineRule="auto"/>
        <w:jc w:val="both"/>
        <w:rPr>
          <w:rFonts w:ascii="Arial Nova Cond" w:hAnsi="Arial Nova Cond"/>
          <w:b/>
          <w:bCs/>
          <w:sz w:val="24"/>
          <w:lang w:val="en-US"/>
        </w:rPr>
      </w:pPr>
      <w:r w:rsidRPr="004E5A48">
        <w:rPr>
          <w:rFonts w:ascii="Arial Nova Cond" w:hAnsi="Arial Nova Cond"/>
          <w:sz w:val="24"/>
          <w:lang w:val="en-US"/>
        </w:rPr>
        <w:t>Three channels provide a useful organizing framework: automation, which refers to the substitution of routine cognitive or manual tasks; augmentation, in which AI complements human labour by increasing productivity or supporting decision-making; and organizational reconfiguration, through which AI changes organizational structures and employment relationships.</w:t>
      </w:r>
    </w:p>
    <w:p w14:paraId="38D0E841"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These mechanisms provide a useful basis for formulating hypotheses about informal employment, but direct empirical evidence on their effects within informal labour markets remains limited.</w:t>
      </w:r>
    </w:p>
    <w:p w14:paraId="416ADE07"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 xml:space="preserve">Historically, informal employment has been concentrated in labour-intensive sectors characterized by </w:t>
      </w:r>
      <w:r w:rsidR="00390916" w:rsidRPr="004E5A48">
        <w:rPr>
          <w:rFonts w:ascii="Arial Nova Cond" w:hAnsi="Arial Nova Cond"/>
          <w:sz w:val="24"/>
          <w:lang w:val="en-US"/>
        </w:rPr>
        <w:t>low</w:t>
      </w:r>
      <w:r w:rsidRPr="004E5A48">
        <w:rPr>
          <w:rFonts w:ascii="Arial Nova Cond" w:hAnsi="Arial Nova Cond"/>
          <w:sz w:val="24"/>
          <w:lang w:val="en-US"/>
        </w:rPr>
        <w:t xml:space="preserve"> levels of technological adoption (ILO, 2018). However, digital platforms increasingly incorporate AI into operational processes.</w:t>
      </w:r>
    </w:p>
    <w:p w14:paraId="3BD49945"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Examples include:</w:t>
      </w:r>
    </w:p>
    <w:p w14:paraId="6608C707" w14:textId="77777777" w:rsidR="00CB41E0" w:rsidRPr="004E5A48" w:rsidRDefault="00000000" w:rsidP="004A5EFE">
      <w:pPr>
        <w:numPr>
          <w:ilvl w:val="0"/>
          <w:numId w:val="35"/>
        </w:numPr>
        <w:spacing w:after="60" w:line="276" w:lineRule="auto"/>
        <w:jc w:val="both"/>
        <w:rPr>
          <w:rFonts w:ascii="Arial Nova Cond" w:hAnsi="Arial Nova Cond"/>
          <w:sz w:val="24"/>
          <w:lang w:val="en-US"/>
        </w:rPr>
      </w:pPr>
      <w:r w:rsidRPr="004E5A48">
        <w:rPr>
          <w:rFonts w:ascii="Arial Nova Cond" w:hAnsi="Arial Nova Cond"/>
          <w:sz w:val="24"/>
        </w:rPr>
        <w:t>dynamic pricing systems;</w:t>
      </w:r>
    </w:p>
    <w:p w14:paraId="79C84503" w14:textId="77777777" w:rsidR="00CB41E0" w:rsidRPr="004E5A48" w:rsidRDefault="00000000" w:rsidP="004A5EFE">
      <w:pPr>
        <w:numPr>
          <w:ilvl w:val="0"/>
          <w:numId w:val="35"/>
        </w:numPr>
        <w:spacing w:after="60" w:line="276" w:lineRule="auto"/>
        <w:jc w:val="both"/>
        <w:rPr>
          <w:rFonts w:ascii="Arial Nova Cond" w:hAnsi="Arial Nova Cond"/>
          <w:sz w:val="24"/>
          <w:lang w:val="en-US"/>
        </w:rPr>
      </w:pPr>
      <w:r w:rsidRPr="004E5A48">
        <w:rPr>
          <w:rFonts w:ascii="Arial Nova Cond" w:hAnsi="Arial Nova Cond"/>
          <w:sz w:val="24"/>
        </w:rPr>
        <w:t>automated worker evaluation;</w:t>
      </w:r>
    </w:p>
    <w:p w14:paraId="130C6C65" w14:textId="77777777" w:rsidR="00CB41E0" w:rsidRPr="004E5A48" w:rsidRDefault="00000000" w:rsidP="004A5EFE">
      <w:pPr>
        <w:numPr>
          <w:ilvl w:val="0"/>
          <w:numId w:val="35"/>
        </w:numPr>
        <w:spacing w:after="60" w:line="276" w:lineRule="auto"/>
        <w:jc w:val="both"/>
        <w:rPr>
          <w:rFonts w:ascii="Arial Nova Cond" w:hAnsi="Arial Nova Cond"/>
          <w:sz w:val="24"/>
          <w:lang w:val="en-US"/>
        </w:rPr>
      </w:pPr>
      <w:r w:rsidRPr="004E5A48">
        <w:rPr>
          <w:rFonts w:ascii="Arial Nova Cond" w:hAnsi="Arial Nova Cond"/>
          <w:sz w:val="24"/>
        </w:rPr>
        <w:t>customer matching algorithms;</w:t>
      </w:r>
    </w:p>
    <w:p w14:paraId="5EA70C2C" w14:textId="77777777" w:rsidR="00CB41E0" w:rsidRPr="004E5A48" w:rsidRDefault="00000000" w:rsidP="004A5EFE">
      <w:pPr>
        <w:numPr>
          <w:ilvl w:val="0"/>
          <w:numId w:val="35"/>
        </w:numPr>
        <w:spacing w:after="60" w:line="276" w:lineRule="auto"/>
        <w:jc w:val="both"/>
        <w:rPr>
          <w:rFonts w:ascii="Arial Nova Cond" w:hAnsi="Arial Nova Cond"/>
          <w:sz w:val="24"/>
          <w:lang w:val="en-US"/>
        </w:rPr>
      </w:pPr>
      <w:r w:rsidRPr="004E5A48">
        <w:rPr>
          <w:rFonts w:ascii="Arial Nova Cond" w:hAnsi="Arial Nova Cond"/>
          <w:sz w:val="24"/>
        </w:rPr>
        <w:t>predictive demand forecasting.</w:t>
      </w:r>
    </w:p>
    <w:p w14:paraId="498AD7A4"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 xml:space="preserve">Within platform economies, algorithmic systems already play a documented role in functions such as matching, pricing, performance evaluation, and demand forecasting. This evidence is stronger than the evidence concerning the broader effects of recent AI systems on </w:t>
      </w:r>
      <w:r w:rsidR="00390916" w:rsidRPr="004E5A48">
        <w:rPr>
          <w:rFonts w:ascii="Arial Nova Cond" w:hAnsi="Arial Nova Cond"/>
          <w:sz w:val="24"/>
          <w:lang w:val="en-US"/>
        </w:rPr>
        <w:t>informality</w:t>
      </w:r>
      <w:r w:rsidRPr="004E5A48">
        <w:rPr>
          <w:rFonts w:ascii="Arial Nova Cond" w:hAnsi="Arial Nova Cond"/>
          <w:sz w:val="24"/>
          <w:lang w:val="en-US"/>
        </w:rPr>
        <w:t>.</w:t>
      </w:r>
    </w:p>
    <w:p w14:paraId="6E7F7861" w14:textId="77777777" w:rsidR="00CB41E0" w:rsidRPr="004E5A48" w:rsidRDefault="00000000" w:rsidP="004A5EFE">
      <w:pPr>
        <w:spacing w:after="60" w:line="240" w:lineRule="auto"/>
        <w:jc w:val="both"/>
        <w:rPr>
          <w:rFonts w:ascii="Arial Nova Cond" w:hAnsi="Arial Nova Cond"/>
          <w:b/>
          <w:bCs/>
          <w:color w:val="8C52FF"/>
          <w:sz w:val="24"/>
          <w:lang w:val="en-US"/>
        </w:rPr>
      </w:pPr>
      <w:r w:rsidRPr="004E5A48">
        <w:rPr>
          <w:rFonts w:ascii="Arial Nova Cond" w:hAnsi="Arial Nova Cond"/>
          <w:b/>
          <w:bCs/>
          <w:sz w:val="24"/>
          <w:lang w:val="en-US"/>
        </w:rPr>
        <w:t xml:space="preserve">Table </w:t>
      </w:r>
      <w:r w:rsidR="00F13A41" w:rsidRPr="004E5A48">
        <w:rPr>
          <w:rFonts w:ascii="Arial Nova Cond" w:hAnsi="Arial Nova Cond"/>
          <w:b/>
          <w:bCs/>
          <w:sz w:val="24"/>
          <w:lang w:val="en-US"/>
        </w:rPr>
        <w:t>5</w:t>
      </w:r>
      <w:r w:rsidRPr="004E5A48">
        <w:rPr>
          <w:rFonts w:ascii="Arial Nova Cond" w:hAnsi="Arial Nova Cond"/>
          <w:b/>
          <w:bCs/>
          <w:sz w:val="24"/>
          <w:lang w:val="en-US"/>
        </w:rPr>
        <w:t>.</w:t>
      </w:r>
      <w:r w:rsidRPr="004E5A48">
        <w:rPr>
          <w:rFonts w:ascii="Arial Nova Cond" w:hAnsi="Arial Nova Cond"/>
          <w:sz w:val="24"/>
          <w:lang w:val="en-US"/>
        </w:rPr>
        <w:t xml:space="preserve"> Potential Effects of Artificial Intelligence on Informal Employment</w:t>
      </w:r>
    </w:p>
    <w:tbl>
      <w:tblPr>
        <w:tblW w:w="0" w:type="auto"/>
        <w:tblCellSpacing w:w="15" w:type="dxa"/>
        <w:tblBorders>
          <w:top w:val="single" w:sz="4" w:space="0" w:color="8C52FF"/>
          <w:left w:val="single" w:sz="4" w:space="0" w:color="8C52FF"/>
          <w:bottom w:val="single" w:sz="4" w:space="0" w:color="8C52FF"/>
          <w:right w:val="single" w:sz="4" w:space="0" w:color="8C52FF"/>
          <w:insideH w:val="single" w:sz="4" w:space="0" w:color="8C52FF"/>
          <w:insideV w:val="single" w:sz="4" w:space="0" w:color="8C52FF"/>
        </w:tblBorders>
        <w:tblCellMar>
          <w:top w:w="15" w:type="dxa"/>
          <w:left w:w="15" w:type="dxa"/>
          <w:bottom w:w="15" w:type="dxa"/>
          <w:right w:w="15" w:type="dxa"/>
        </w:tblCellMar>
        <w:tblLook w:val="04A0" w:firstRow="1" w:lastRow="0" w:firstColumn="1" w:lastColumn="0" w:noHBand="0" w:noVBand="1"/>
      </w:tblPr>
      <w:tblGrid>
        <w:gridCol w:w="2112"/>
        <w:gridCol w:w="2976"/>
        <w:gridCol w:w="3696"/>
      </w:tblGrid>
      <w:tr w:rsidR="009D79B0" w:rsidRPr="004E5A48" w14:paraId="66C1B23C" w14:textId="77777777" w:rsidTr="004650D3">
        <w:trPr>
          <w:tblCellSpacing w:w="15" w:type="dxa"/>
        </w:trPr>
        <w:tc>
          <w:tcPr>
            <w:tcW w:w="2067" w:type="dxa"/>
            <w:vAlign w:val="center"/>
            <w:hideMark/>
          </w:tcPr>
          <w:p w14:paraId="2B3A1E38" w14:textId="77777777" w:rsidR="00CB41E0" w:rsidRPr="004E5A48" w:rsidRDefault="00000000" w:rsidP="004A5EFE">
            <w:pPr>
              <w:spacing w:after="60" w:line="240" w:lineRule="auto"/>
              <w:jc w:val="both"/>
              <w:rPr>
                <w:rFonts w:ascii="Arial Nova Cond" w:hAnsi="Arial Nova Cond"/>
                <w:b/>
                <w:bCs/>
                <w:sz w:val="24"/>
                <w:lang w:val="en-US"/>
              </w:rPr>
            </w:pPr>
            <w:r w:rsidRPr="004E5A48">
              <w:rPr>
                <w:rFonts w:ascii="Arial Nova Cond" w:hAnsi="Arial Nova Cond"/>
                <w:b/>
                <w:bCs/>
                <w:sz w:val="24"/>
                <w:lang w:val="en-US"/>
              </w:rPr>
              <w:t>Mechanism</w:t>
            </w:r>
          </w:p>
        </w:tc>
        <w:tc>
          <w:tcPr>
            <w:tcW w:w="2946" w:type="dxa"/>
            <w:vAlign w:val="center"/>
            <w:hideMark/>
          </w:tcPr>
          <w:p w14:paraId="6FA62348" w14:textId="77777777" w:rsidR="009D41F7" w:rsidRPr="004E5A48" w:rsidRDefault="00000000" w:rsidP="004A5EFE">
            <w:pPr>
              <w:jc w:val="both"/>
              <w:rPr>
                <w:rFonts w:ascii="Arial Nova Cond" w:hAnsi="Arial Nova Cond"/>
                <w:sz w:val="24"/>
              </w:rPr>
            </w:pPr>
            <w:r w:rsidRPr="004E5A48">
              <w:rPr>
                <w:rFonts w:ascii="Arial Nova Cond" w:hAnsi="Arial Nova Cond"/>
                <w:sz w:val="24"/>
              </w:rPr>
              <w:t>Hypothesized Opportunities</w:t>
            </w:r>
          </w:p>
        </w:tc>
        <w:tc>
          <w:tcPr>
            <w:tcW w:w="3651" w:type="dxa"/>
            <w:vAlign w:val="center"/>
            <w:hideMark/>
          </w:tcPr>
          <w:p w14:paraId="53A4724C" w14:textId="77777777" w:rsidR="009D41F7" w:rsidRPr="004E5A48" w:rsidRDefault="00000000" w:rsidP="004A5EFE">
            <w:pPr>
              <w:jc w:val="both"/>
              <w:rPr>
                <w:rFonts w:ascii="Arial Nova Cond" w:hAnsi="Arial Nova Cond"/>
                <w:sz w:val="24"/>
              </w:rPr>
            </w:pPr>
            <w:r w:rsidRPr="004E5A48">
              <w:rPr>
                <w:rFonts w:ascii="Arial Nova Cond" w:hAnsi="Arial Nova Cond"/>
                <w:sz w:val="24"/>
              </w:rPr>
              <w:t>Hypothesized Risks</w:t>
            </w:r>
          </w:p>
        </w:tc>
      </w:tr>
      <w:tr w:rsidR="009D79B0" w:rsidRPr="004E5A48" w14:paraId="19266DB9" w14:textId="77777777" w:rsidTr="004650D3">
        <w:trPr>
          <w:tblCellSpacing w:w="15" w:type="dxa"/>
        </w:trPr>
        <w:tc>
          <w:tcPr>
            <w:tcW w:w="2067" w:type="dxa"/>
            <w:vAlign w:val="center"/>
            <w:hideMark/>
          </w:tcPr>
          <w:p w14:paraId="2FDFA5D4"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Automation</w:t>
            </w:r>
          </w:p>
        </w:tc>
        <w:tc>
          <w:tcPr>
            <w:tcW w:w="2946" w:type="dxa"/>
            <w:vAlign w:val="center"/>
            <w:hideMark/>
          </w:tcPr>
          <w:p w14:paraId="31E97D6C"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Productivity gains</w:t>
            </w:r>
          </w:p>
        </w:tc>
        <w:tc>
          <w:tcPr>
            <w:tcW w:w="3651" w:type="dxa"/>
            <w:vAlign w:val="center"/>
            <w:hideMark/>
          </w:tcPr>
          <w:p w14:paraId="657D760B"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Job displacement</w:t>
            </w:r>
          </w:p>
        </w:tc>
      </w:tr>
      <w:tr w:rsidR="009D79B0" w:rsidRPr="004E5A48" w14:paraId="4B5D3E95" w14:textId="77777777" w:rsidTr="004650D3">
        <w:trPr>
          <w:tblCellSpacing w:w="15" w:type="dxa"/>
        </w:trPr>
        <w:tc>
          <w:tcPr>
            <w:tcW w:w="2067" w:type="dxa"/>
            <w:vAlign w:val="center"/>
            <w:hideMark/>
          </w:tcPr>
          <w:p w14:paraId="724C10FF"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Matching algorithms</w:t>
            </w:r>
          </w:p>
        </w:tc>
        <w:tc>
          <w:tcPr>
            <w:tcW w:w="2946" w:type="dxa"/>
            <w:vAlign w:val="center"/>
            <w:hideMark/>
          </w:tcPr>
          <w:p w14:paraId="6B34E8B7"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Better labour-market access</w:t>
            </w:r>
          </w:p>
        </w:tc>
        <w:tc>
          <w:tcPr>
            <w:tcW w:w="3651" w:type="dxa"/>
            <w:vAlign w:val="center"/>
            <w:hideMark/>
          </w:tcPr>
          <w:p w14:paraId="67D0ABD7"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Increased platform dependence</w:t>
            </w:r>
          </w:p>
        </w:tc>
      </w:tr>
      <w:tr w:rsidR="009D79B0" w:rsidRPr="004E5A48" w14:paraId="23B3BF94" w14:textId="77777777" w:rsidTr="004650D3">
        <w:trPr>
          <w:tblCellSpacing w:w="15" w:type="dxa"/>
        </w:trPr>
        <w:tc>
          <w:tcPr>
            <w:tcW w:w="2067" w:type="dxa"/>
            <w:vAlign w:val="center"/>
            <w:hideMark/>
          </w:tcPr>
          <w:p w14:paraId="5336AE0C"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Predictive analytics</w:t>
            </w:r>
          </w:p>
        </w:tc>
        <w:tc>
          <w:tcPr>
            <w:tcW w:w="2946" w:type="dxa"/>
            <w:vAlign w:val="center"/>
            <w:hideMark/>
          </w:tcPr>
          <w:p w14:paraId="73BFECFB"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Improved business decisions</w:t>
            </w:r>
          </w:p>
        </w:tc>
        <w:tc>
          <w:tcPr>
            <w:tcW w:w="3651" w:type="dxa"/>
            <w:vAlign w:val="center"/>
            <w:hideMark/>
          </w:tcPr>
          <w:p w14:paraId="24F3453B"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Surveillance</w:t>
            </w:r>
          </w:p>
        </w:tc>
      </w:tr>
      <w:tr w:rsidR="009D79B0" w:rsidRPr="004E5A48" w14:paraId="2661CA90" w14:textId="77777777" w:rsidTr="004650D3">
        <w:trPr>
          <w:tblCellSpacing w:w="15" w:type="dxa"/>
        </w:trPr>
        <w:tc>
          <w:tcPr>
            <w:tcW w:w="2067" w:type="dxa"/>
            <w:vAlign w:val="center"/>
            <w:hideMark/>
          </w:tcPr>
          <w:p w14:paraId="41C94DC2"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Digital assistants</w:t>
            </w:r>
          </w:p>
        </w:tc>
        <w:tc>
          <w:tcPr>
            <w:tcW w:w="2946" w:type="dxa"/>
            <w:vAlign w:val="center"/>
            <w:hideMark/>
          </w:tcPr>
          <w:p w14:paraId="62B8DFC5"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Entrepreneurial support</w:t>
            </w:r>
          </w:p>
        </w:tc>
        <w:tc>
          <w:tcPr>
            <w:tcW w:w="3651" w:type="dxa"/>
            <w:vAlign w:val="center"/>
            <w:hideMark/>
          </w:tcPr>
          <w:p w14:paraId="696D6FAA"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Digital inequality</w:t>
            </w:r>
          </w:p>
        </w:tc>
      </w:tr>
      <w:tr w:rsidR="009D79B0" w:rsidRPr="004E5A48" w14:paraId="2548B1BA" w14:textId="77777777" w:rsidTr="004650D3">
        <w:trPr>
          <w:tblCellSpacing w:w="15" w:type="dxa"/>
        </w:trPr>
        <w:tc>
          <w:tcPr>
            <w:tcW w:w="2067" w:type="dxa"/>
            <w:vAlign w:val="center"/>
            <w:hideMark/>
          </w:tcPr>
          <w:p w14:paraId="10A4CF2E"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Automated compliance systems</w:t>
            </w:r>
          </w:p>
        </w:tc>
        <w:tc>
          <w:tcPr>
            <w:tcW w:w="2946" w:type="dxa"/>
            <w:vAlign w:val="center"/>
            <w:hideMark/>
          </w:tcPr>
          <w:p w14:paraId="1DACDB86"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Easier formalization</w:t>
            </w:r>
          </w:p>
        </w:tc>
        <w:tc>
          <w:tcPr>
            <w:tcW w:w="3651" w:type="dxa"/>
            <w:vAlign w:val="center"/>
            <w:hideMark/>
          </w:tcPr>
          <w:p w14:paraId="0B6E65EB" w14:textId="77777777" w:rsidR="00CB41E0" w:rsidRPr="004E5A48" w:rsidRDefault="00000000" w:rsidP="004A5EFE">
            <w:pPr>
              <w:spacing w:after="60" w:line="240" w:lineRule="auto"/>
              <w:jc w:val="both"/>
              <w:rPr>
                <w:rFonts w:ascii="Arial Nova Cond" w:hAnsi="Arial Nova Cond"/>
                <w:sz w:val="24"/>
                <w:lang w:val="en-US"/>
              </w:rPr>
            </w:pPr>
            <w:r w:rsidRPr="004E5A48">
              <w:rPr>
                <w:rFonts w:ascii="Arial Nova Cond" w:hAnsi="Arial Nova Cond"/>
                <w:sz w:val="24"/>
                <w:lang w:val="en-US"/>
              </w:rPr>
              <w:t>Exclusion of digitally disadvantaged workers</w:t>
            </w:r>
          </w:p>
        </w:tc>
      </w:tr>
    </w:tbl>
    <w:p w14:paraId="70D6FFBD" w14:textId="77777777" w:rsidR="00CB41E0" w:rsidRPr="004E5A48" w:rsidRDefault="00000000" w:rsidP="004A5EFE">
      <w:pPr>
        <w:spacing w:after="240" w:line="240" w:lineRule="auto"/>
        <w:jc w:val="both"/>
        <w:rPr>
          <w:rFonts w:ascii="Arial Nova Cond" w:hAnsi="Arial Nova Cond"/>
          <w:sz w:val="20"/>
          <w:szCs w:val="20"/>
          <w:lang w:val="en-US"/>
        </w:rPr>
      </w:pPr>
      <w:r w:rsidRPr="004E5A48">
        <w:rPr>
          <w:rFonts w:ascii="Arial Nova Cond" w:hAnsi="Arial Nova Cond"/>
          <w:sz w:val="20"/>
          <w:szCs w:val="20"/>
          <w:lang w:val="en-US"/>
        </w:rPr>
        <w:t xml:space="preserve">Source: </w:t>
      </w:r>
      <w:r w:rsidR="00F13A41" w:rsidRPr="004E5A48">
        <w:rPr>
          <w:rFonts w:ascii="Arial Nova Cond" w:hAnsi="Arial Nova Cond"/>
          <w:sz w:val="20"/>
          <w:szCs w:val="20"/>
          <w:lang w:val="en-US"/>
        </w:rPr>
        <w:t>P</w:t>
      </w:r>
      <w:r w:rsidRPr="004E5A48">
        <w:rPr>
          <w:rFonts w:ascii="Arial Nova Cond" w:hAnsi="Arial Nova Cond"/>
          <w:sz w:val="20"/>
          <w:szCs w:val="20"/>
          <w:lang w:val="en-US"/>
        </w:rPr>
        <w:t>rospective analytical synthesis informed by Autor (2015), Acemoglu and Restrepo (2019), and Brynjolfsson and McAfee (2014). The opportunity/risk entries are hypotheses derived from mechanisms discussed in the broader technology-and-labour literature; they are not classifications or demonstrated causal effects for informal employment. Their evidentiary status is therefore limited pending direct comparative research on informal workers and enterprises.</w:t>
      </w:r>
    </w:p>
    <w:p w14:paraId="031DE755"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lastRenderedPageBreak/>
        <w:t xml:space="preserve">Accordingly, Table </w:t>
      </w:r>
      <w:r w:rsidR="00F13A41" w:rsidRPr="004E5A48">
        <w:rPr>
          <w:rFonts w:ascii="Arial Nova Cond" w:hAnsi="Arial Nova Cond"/>
          <w:sz w:val="24"/>
          <w:lang w:val="en-US"/>
        </w:rPr>
        <w:t>5</w:t>
      </w:r>
      <w:r w:rsidRPr="004E5A48">
        <w:rPr>
          <w:rFonts w:ascii="Arial Nova Cond" w:hAnsi="Arial Nova Cond"/>
          <w:sz w:val="24"/>
          <w:lang w:val="en-US"/>
        </w:rPr>
        <w:t xml:space="preserve"> should be read as a research framework rather than as a summary of demonstrated causal effects. Existing labour-market research identifies plausible channels through which AI could generate both opportunities and risks, but comparative evidence specific to informal workers remains insufficient to determine their prevalence, magnitude, or net effect.</w:t>
      </w:r>
    </w:p>
    <w:p w14:paraId="2D404A1F"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A particularly significant development in the platform economy is the expansion of algorithmic management.</w:t>
      </w:r>
    </w:p>
    <w:p w14:paraId="1668617B"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Whereas conventional management relies primarily on human supervisors, digital platforms increasingly use algorithms to perform managerial functions.</w:t>
      </w:r>
    </w:p>
    <w:p w14:paraId="3D706A79"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Research on algorithmic management identifies task allocation, worker evaluation, pricing, behavioural monitoring and discipline as central mechanisms of digitally mediated control (Wood et al., 2019, pp. 56–75; Kellogg et al., 2020, pp. 366–410; Rosenblat, 2018).</w:t>
      </w:r>
    </w:p>
    <w:p w14:paraId="1CB1860A" w14:textId="77777777" w:rsidR="00CB41E0" w:rsidRPr="004E5A48" w:rsidRDefault="00000000" w:rsidP="004A5EFE">
      <w:pPr>
        <w:numPr>
          <w:ilvl w:val="0"/>
          <w:numId w:val="36"/>
        </w:numPr>
        <w:spacing w:after="60" w:line="276" w:lineRule="auto"/>
        <w:jc w:val="both"/>
        <w:rPr>
          <w:rFonts w:ascii="Arial Nova Cond" w:hAnsi="Arial Nova Cond"/>
          <w:sz w:val="24"/>
          <w:lang w:val="en-US"/>
        </w:rPr>
      </w:pPr>
      <w:r w:rsidRPr="004E5A48">
        <w:rPr>
          <w:rFonts w:ascii="Arial Nova Cond" w:hAnsi="Arial Nova Cond"/>
          <w:sz w:val="24"/>
        </w:rPr>
        <w:t>task allocation;</w:t>
      </w:r>
    </w:p>
    <w:p w14:paraId="616FFE8E" w14:textId="77777777" w:rsidR="00CB41E0" w:rsidRPr="004E5A48" w:rsidRDefault="00000000" w:rsidP="004A5EFE">
      <w:pPr>
        <w:numPr>
          <w:ilvl w:val="0"/>
          <w:numId w:val="36"/>
        </w:numPr>
        <w:spacing w:after="60" w:line="276" w:lineRule="auto"/>
        <w:jc w:val="both"/>
        <w:rPr>
          <w:rFonts w:ascii="Arial Nova Cond" w:hAnsi="Arial Nova Cond"/>
          <w:sz w:val="24"/>
          <w:lang w:val="en-US"/>
        </w:rPr>
      </w:pPr>
      <w:r w:rsidRPr="004E5A48">
        <w:rPr>
          <w:rFonts w:ascii="Arial Nova Cond" w:hAnsi="Arial Nova Cond"/>
          <w:sz w:val="24"/>
        </w:rPr>
        <w:t>worker evaluation;</w:t>
      </w:r>
    </w:p>
    <w:p w14:paraId="20856E05" w14:textId="77777777" w:rsidR="00CB41E0" w:rsidRPr="004E5A48" w:rsidRDefault="00000000" w:rsidP="004A5EFE">
      <w:pPr>
        <w:numPr>
          <w:ilvl w:val="0"/>
          <w:numId w:val="36"/>
        </w:numPr>
        <w:spacing w:after="60" w:line="276" w:lineRule="auto"/>
        <w:jc w:val="both"/>
        <w:rPr>
          <w:rFonts w:ascii="Arial Nova Cond" w:hAnsi="Arial Nova Cond"/>
          <w:sz w:val="24"/>
          <w:lang w:val="en-US"/>
        </w:rPr>
      </w:pPr>
      <w:r w:rsidRPr="004E5A48">
        <w:rPr>
          <w:rFonts w:ascii="Arial Nova Cond" w:hAnsi="Arial Nova Cond"/>
          <w:sz w:val="24"/>
        </w:rPr>
        <w:t>pricing decisions;</w:t>
      </w:r>
    </w:p>
    <w:p w14:paraId="39DA86E4" w14:textId="77777777" w:rsidR="00CB41E0" w:rsidRPr="004E5A48" w:rsidRDefault="00000000" w:rsidP="004A5EFE">
      <w:pPr>
        <w:numPr>
          <w:ilvl w:val="0"/>
          <w:numId w:val="36"/>
        </w:numPr>
        <w:spacing w:after="60" w:line="276" w:lineRule="auto"/>
        <w:jc w:val="both"/>
        <w:rPr>
          <w:rFonts w:ascii="Arial Nova Cond" w:hAnsi="Arial Nova Cond"/>
          <w:sz w:val="24"/>
          <w:lang w:val="en-US"/>
        </w:rPr>
      </w:pPr>
      <w:r w:rsidRPr="004E5A48">
        <w:rPr>
          <w:rFonts w:ascii="Arial Nova Cond" w:hAnsi="Arial Nova Cond"/>
          <w:sz w:val="24"/>
        </w:rPr>
        <w:t>behavioural monitoring;</w:t>
      </w:r>
    </w:p>
    <w:p w14:paraId="0F75A0D6" w14:textId="77777777" w:rsidR="00CB41E0" w:rsidRPr="004E5A48" w:rsidRDefault="00000000" w:rsidP="004A5EFE">
      <w:pPr>
        <w:numPr>
          <w:ilvl w:val="0"/>
          <w:numId w:val="36"/>
        </w:numPr>
        <w:spacing w:after="60" w:line="276" w:lineRule="auto"/>
        <w:jc w:val="both"/>
        <w:rPr>
          <w:rFonts w:ascii="Arial Nova Cond" w:hAnsi="Arial Nova Cond"/>
          <w:sz w:val="24"/>
          <w:lang w:val="en-US"/>
        </w:rPr>
      </w:pPr>
      <w:r w:rsidRPr="004E5A48">
        <w:rPr>
          <w:rFonts w:ascii="Arial Nova Cond" w:hAnsi="Arial Nova Cond"/>
          <w:sz w:val="24"/>
        </w:rPr>
        <w:t>disciplinary actions.</w:t>
      </w:r>
    </w:p>
    <w:p w14:paraId="2EA7FA93"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Empirical research on platform work documents concerns regarding transparency, information asymmetries, monitoring, and accountability. Claims about efficiency gains are more context-dependent and should not be assumed to apply uniformly across platforms or workers.</w:t>
      </w:r>
    </w:p>
    <w:p w14:paraId="7D44A228"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Workers often lack information concerning:</w:t>
      </w:r>
    </w:p>
    <w:p w14:paraId="4D0DC0AE" w14:textId="77777777" w:rsidR="00CB41E0" w:rsidRPr="004E5A48" w:rsidRDefault="00000000" w:rsidP="004A5EFE">
      <w:pPr>
        <w:numPr>
          <w:ilvl w:val="0"/>
          <w:numId w:val="37"/>
        </w:numPr>
        <w:spacing w:after="60" w:line="276" w:lineRule="auto"/>
        <w:jc w:val="both"/>
        <w:rPr>
          <w:rFonts w:ascii="Arial Nova Cond" w:hAnsi="Arial Nova Cond"/>
          <w:sz w:val="24"/>
          <w:lang w:val="en-US"/>
        </w:rPr>
      </w:pPr>
      <w:r w:rsidRPr="004E5A48">
        <w:rPr>
          <w:rFonts w:ascii="Arial Nova Cond" w:hAnsi="Arial Nova Cond"/>
          <w:sz w:val="24"/>
        </w:rPr>
        <w:t>how algorithms operate;</w:t>
      </w:r>
    </w:p>
    <w:p w14:paraId="23A5BFA2" w14:textId="77777777" w:rsidR="00CB41E0" w:rsidRPr="004E5A48" w:rsidRDefault="00000000" w:rsidP="004A5EFE">
      <w:pPr>
        <w:numPr>
          <w:ilvl w:val="0"/>
          <w:numId w:val="37"/>
        </w:numPr>
        <w:spacing w:after="60" w:line="276" w:lineRule="auto"/>
        <w:jc w:val="both"/>
        <w:rPr>
          <w:rFonts w:ascii="Arial Nova Cond" w:hAnsi="Arial Nova Cond"/>
          <w:sz w:val="24"/>
          <w:lang w:val="en-US"/>
        </w:rPr>
      </w:pPr>
      <w:r w:rsidRPr="004E5A48">
        <w:rPr>
          <w:rFonts w:ascii="Arial Nova Cond" w:hAnsi="Arial Nova Cond"/>
          <w:sz w:val="24"/>
        </w:rPr>
        <w:t>how ratings are calculated;</w:t>
      </w:r>
    </w:p>
    <w:p w14:paraId="28B57D53" w14:textId="77777777" w:rsidR="00CB41E0" w:rsidRPr="004E5A48" w:rsidRDefault="00000000" w:rsidP="004A5EFE">
      <w:pPr>
        <w:numPr>
          <w:ilvl w:val="0"/>
          <w:numId w:val="37"/>
        </w:numPr>
        <w:spacing w:after="60" w:line="276" w:lineRule="auto"/>
        <w:jc w:val="both"/>
        <w:rPr>
          <w:rFonts w:ascii="Arial Nova Cond" w:hAnsi="Arial Nova Cond"/>
          <w:sz w:val="24"/>
          <w:lang w:val="en-US"/>
        </w:rPr>
      </w:pPr>
      <w:r w:rsidRPr="004E5A48">
        <w:rPr>
          <w:rFonts w:ascii="Arial Nova Cond" w:hAnsi="Arial Nova Cond"/>
          <w:sz w:val="24"/>
          <w:lang w:val="en-US"/>
        </w:rPr>
        <w:t>how disciplinary decisions are made.</w:t>
      </w:r>
    </w:p>
    <w:p w14:paraId="559599F7"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This informational asymmetry may reinforce vulnerabilities associated with hybrid informality.</w:t>
      </w:r>
    </w:p>
    <w:p w14:paraId="67407723" w14:textId="77777777" w:rsidR="00CB41E0" w:rsidRPr="004E5A48" w:rsidRDefault="00000000" w:rsidP="004A5EFE">
      <w:pPr>
        <w:spacing w:after="60" w:line="240" w:lineRule="auto"/>
        <w:jc w:val="both"/>
        <w:rPr>
          <w:rFonts w:ascii="Arial Nova Cond" w:hAnsi="Arial Nova Cond"/>
          <w:b/>
          <w:bCs/>
          <w:color w:val="8C52FF"/>
          <w:sz w:val="24"/>
          <w:lang w:val="en-US"/>
        </w:rPr>
      </w:pPr>
      <w:r w:rsidRPr="004E5A48">
        <w:rPr>
          <w:rFonts w:ascii="Arial Nova Cond" w:hAnsi="Arial Nova Cond"/>
          <w:b/>
          <w:bCs/>
          <w:sz w:val="24"/>
          <w:lang w:val="en-US"/>
        </w:rPr>
        <w:t>Figure 1.</w:t>
      </w:r>
      <w:r w:rsidRPr="004E5A48">
        <w:rPr>
          <w:rFonts w:ascii="Arial Nova Cond" w:hAnsi="Arial Nova Cond"/>
          <w:sz w:val="24"/>
          <w:lang w:val="en-US"/>
        </w:rPr>
        <w:t xml:space="preserve"> Algorithmic Governance in Platform Work</w:t>
      </w:r>
    </w:p>
    <w:p w14:paraId="2F2774D3"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ascii="Arial Nova Cond" w:hAnsi="Arial Nova Cond"/>
          <w:sz w:val="24"/>
          <w:lang w:val="en-US"/>
        </w:rPr>
        <w:t>Platform</w:t>
      </w:r>
    </w:p>
    <w:p w14:paraId="17B986D7"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cs="Arial"/>
          <w:sz w:val="24"/>
          <w:lang w:val="en-US"/>
        </w:rPr>
        <w:t>↓</w:t>
      </w:r>
    </w:p>
    <w:p w14:paraId="4376A4D2"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ascii="Arial Nova Cond" w:hAnsi="Arial Nova Cond"/>
          <w:sz w:val="24"/>
          <w:lang w:val="en-US"/>
        </w:rPr>
        <w:t>Algorithm</w:t>
      </w:r>
    </w:p>
    <w:p w14:paraId="399DE767"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cs="Arial"/>
          <w:sz w:val="24"/>
          <w:lang w:val="en-US"/>
        </w:rPr>
        <w:t>↓</w:t>
      </w:r>
    </w:p>
    <w:p w14:paraId="79C32F75"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ascii="Arial Nova Cond" w:hAnsi="Arial Nova Cond"/>
          <w:sz w:val="24"/>
          <w:lang w:val="en-US"/>
        </w:rPr>
        <w:t>Task Allocation</w:t>
      </w:r>
    </w:p>
    <w:p w14:paraId="5000A1ED"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cs="Arial"/>
          <w:sz w:val="24"/>
          <w:lang w:val="en-US"/>
        </w:rPr>
        <w:t>↓</w:t>
      </w:r>
    </w:p>
    <w:p w14:paraId="4350D5D7"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ascii="Arial Nova Cond" w:hAnsi="Arial Nova Cond"/>
          <w:sz w:val="24"/>
          <w:lang w:val="en-US"/>
        </w:rPr>
        <w:t>Worker Performance Monitoring</w:t>
      </w:r>
    </w:p>
    <w:p w14:paraId="0F2883A8"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cs="Arial"/>
          <w:sz w:val="24"/>
          <w:lang w:val="en-US"/>
        </w:rPr>
        <w:t>↓</w:t>
      </w:r>
    </w:p>
    <w:p w14:paraId="204F82C0"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ascii="Arial Nova Cond" w:hAnsi="Arial Nova Cond"/>
          <w:sz w:val="24"/>
          <w:lang w:val="en-US"/>
        </w:rPr>
        <w:t>Ratings and Evaluation</w:t>
      </w:r>
    </w:p>
    <w:p w14:paraId="2557B480"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cs="Arial"/>
          <w:sz w:val="24"/>
          <w:lang w:val="en-US"/>
        </w:rPr>
        <w:lastRenderedPageBreak/>
        <w:t>↓</w:t>
      </w:r>
    </w:p>
    <w:p w14:paraId="30B4678B"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ascii="Arial Nova Cond" w:hAnsi="Arial Nova Cond"/>
          <w:sz w:val="24"/>
          <w:lang w:val="en-US"/>
        </w:rPr>
        <w:t>Access to Future Work</w:t>
      </w:r>
    </w:p>
    <w:p w14:paraId="13F51F8F"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cs="Arial"/>
          <w:sz w:val="24"/>
          <w:lang w:val="en-US"/>
        </w:rPr>
        <w:t>↓</w:t>
      </w:r>
    </w:p>
    <w:p w14:paraId="3DC85F2E" w14:textId="77777777" w:rsidR="00CB41E0" w:rsidRPr="004E5A48" w:rsidRDefault="00000000" w:rsidP="00F13A41">
      <w:pPr>
        <w:pBdr>
          <w:top w:val="single" w:sz="12" w:space="1" w:color="8C52FF"/>
          <w:left w:val="single" w:sz="12" w:space="4" w:color="8C52FF"/>
          <w:bottom w:val="single" w:sz="12" w:space="1" w:color="8C52FF"/>
          <w:right w:val="single" w:sz="12" w:space="4" w:color="8C52FF"/>
        </w:pBdr>
        <w:spacing w:after="0" w:line="240" w:lineRule="auto"/>
        <w:jc w:val="center"/>
        <w:rPr>
          <w:rFonts w:ascii="Arial Nova Cond" w:hAnsi="Arial Nova Cond"/>
          <w:sz w:val="24"/>
          <w:lang w:val="en-US"/>
        </w:rPr>
      </w:pPr>
      <w:r w:rsidRPr="004E5A48">
        <w:rPr>
          <w:rFonts w:ascii="Arial Nova Cond" w:hAnsi="Arial Nova Cond"/>
          <w:sz w:val="24"/>
          <w:lang w:val="en-US"/>
        </w:rPr>
        <w:t>Income Generation</w:t>
      </w:r>
    </w:p>
    <w:p w14:paraId="4AF84452" w14:textId="77777777" w:rsidR="00CB41E0" w:rsidRPr="004E5A48" w:rsidRDefault="00000000" w:rsidP="00F13A41">
      <w:pPr>
        <w:spacing w:after="0" w:line="240" w:lineRule="auto"/>
        <w:jc w:val="both"/>
        <w:rPr>
          <w:rFonts w:ascii="Arial Nova Cond" w:hAnsi="Arial Nova Cond"/>
          <w:sz w:val="20"/>
          <w:szCs w:val="20"/>
          <w:lang w:val="en-US"/>
        </w:rPr>
      </w:pPr>
      <w:r w:rsidRPr="004E5A48">
        <w:rPr>
          <w:rFonts w:ascii="Arial Nova Cond" w:hAnsi="Arial Nova Cond"/>
          <w:sz w:val="20"/>
          <w:szCs w:val="20"/>
          <w:lang w:val="en-US"/>
        </w:rPr>
        <w:t xml:space="preserve">Source: </w:t>
      </w:r>
      <w:r w:rsidR="00F13A41" w:rsidRPr="004E5A48">
        <w:rPr>
          <w:rFonts w:ascii="Arial Nova Cond" w:hAnsi="Arial Nova Cond"/>
          <w:sz w:val="20"/>
          <w:szCs w:val="20"/>
          <w:lang w:val="en-US"/>
        </w:rPr>
        <w:t>S</w:t>
      </w:r>
      <w:r w:rsidRPr="004E5A48">
        <w:rPr>
          <w:rFonts w:ascii="Arial Nova Cond" w:hAnsi="Arial Nova Cond"/>
          <w:sz w:val="20"/>
          <w:szCs w:val="20"/>
          <w:lang w:val="en-US"/>
        </w:rPr>
        <w:t xml:space="preserve">chematic synthesis adapted from Rosenblat (2018), Wood et al. (2019), Kellogg et al. (2020), and ILO (2021). The sequence is an analytical representation of recurrent mechanisms documented in platform work; it is not a universal causal </w:t>
      </w:r>
      <w:r w:rsidR="007E3909" w:rsidRPr="004E5A48">
        <w:rPr>
          <w:rFonts w:ascii="Arial Nova Cond" w:hAnsi="Arial Nova Cond"/>
          <w:sz w:val="20"/>
          <w:szCs w:val="20"/>
          <w:lang w:val="en-US"/>
        </w:rPr>
        <w:t>chain,</w:t>
      </w:r>
      <w:r w:rsidRPr="004E5A48">
        <w:rPr>
          <w:rFonts w:ascii="Arial Nova Cond" w:hAnsi="Arial Nova Cond"/>
          <w:sz w:val="20"/>
          <w:szCs w:val="20"/>
          <w:lang w:val="en-US"/>
        </w:rPr>
        <w:t xml:space="preserve"> and individual platforms may combine, omit, or order these functions differently.</w:t>
      </w:r>
    </w:p>
    <w:p w14:paraId="3161EB1C" w14:textId="77777777" w:rsidR="00CB41E0" w:rsidRPr="004E5A48" w:rsidRDefault="00000000" w:rsidP="004E5A48">
      <w:pPr>
        <w:spacing w:after="240" w:line="276" w:lineRule="auto"/>
        <w:jc w:val="both"/>
        <w:rPr>
          <w:rFonts w:ascii="Arial Nova Cond" w:hAnsi="Arial Nova Cond"/>
          <w:sz w:val="20"/>
          <w:szCs w:val="20"/>
          <w:lang w:val="en-US"/>
        </w:rPr>
      </w:pPr>
      <w:r w:rsidRPr="004E5A48">
        <w:rPr>
          <w:rFonts w:ascii="Arial Nova Cond" w:hAnsi="Arial Nova Cond"/>
          <w:sz w:val="20"/>
          <w:szCs w:val="20"/>
          <w:lang w:val="en-US"/>
        </w:rPr>
        <w:t>This framework summarizes a comparatively well-documented feature of platform labour: algorithmic systems can perform managerial functions that shape task allocation, evaluation, and access to work. The consequences for workers vary across platforms and regulatory settings.</w:t>
      </w:r>
    </w:p>
    <w:p w14:paraId="14856B8A" w14:textId="77777777" w:rsidR="00CB41E0" w:rsidRPr="004E5A48" w:rsidRDefault="00000000" w:rsidP="004E5A48">
      <w:pPr>
        <w:jc w:val="both"/>
        <w:rPr>
          <w:rFonts w:ascii="Arial Nova Cond" w:hAnsi="Arial Nova Cond"/>
          <w:sz w:val="24"/>
          <w:lang w:val="en-US"/>
        </w:rPr>
      </w:pPr>
      <w:r w:rsidRPr="004E5A48">
        <w:rPr>
          <w:rFonts w:ascii="Arial Nova Cond" w:hAnsi="Arial Nova Cond"/>
          <w:sz w:val="24"/>
          <w:lang w:val="en-US"/>
        </w:rPr>
        <w:t>Blockchain may support secure records, identity, property registries, or transaction traceability, while machine-learning methods can process platform, payment, and administrative data. Yet robust comparative evidence that either technology improves formalization or produces more valid estimates of informality than established systems remains limited. Most blockchain applications are experimental, and AI-based measurement raises additional concerns about representativeness, privacy, transparency, bias, and accountability. These technologies should therefore be evaluated against conventional registries, surveys, and administrative systems rather than assumed to be superior (Jovanovic et al., 2022; Zuboff, 2019).</w:t>
      </w:r>
    </w:p>
    <w:p w14:paraId="5D7B42DB" w14:textId="77777777" w:rsidR="00CB41E0" w:rsidRPr="004E5A48" w:rsidRDefault="00000000" w:rsidP="004E5A48">
      <w:pPr>
        <w:spacing w:after="60" w:line="276" w:lineRule="auto"/>
        <w:jc w:val="both"/>
        <w:rPr>
          <w:rFonts w:ascii="Arial Nova Cond" w:hAnsi="Arial Nova Cond"/>
          <w:sz w:val="24"/>
          <w:lang w:val="en-US"/>
        </w:rPr>
      </w:pPr>
      <w:r w:rsidRPr="004E5A48">
        <w:rPr>
          <w:rFonts w:ascii="Arial Nova Cond" w:hAnsi="Arial Nova Cond"/>
          <w:sz w:val="24"/>
          <w:lang w:val="en-US"/>
        </w:rPr>
        <w:t>The governance of AI and platform work also differs across institutional contexts.</w:t>
      </w:r>
    </w:p>
    <w:p w14:paraId="5CC0AE76" w14:textId="77777777" w:rsidR="00CB41E0" w:rsidRPr="004E5A48" w:rsidRDefault="00000000" w:rsidP="004E5A48">
      <w:pPr>
        <w:spacing w:after="60" w:line="276" w:lineRule="auto"/>
        <w:jc w:val="both"/>
        <w:rPr>
          <w:rFonts w:ascii="Arial Nova Cond" w:hAnsi="Arial Nova Cond"/>
          <w:sz w:val="24"/>
          <w:lang w:val="en-US"/>
        </w:rPr>
      </w:pPr>
      <w:r w:rsidRPr="004E5A48">
        <w:rPr>
          <w:rFonts w:ascii="Arial Nova Cond" w:hAnsi="Arial Nova Cond"/>
          <w:sz w:val="24"/>
          <w:lang w:val="en-US"/>
        </w:rPr>
        <w:t>In the European Union, regulatory initiatives emphasize worker rights, data protection, algorithmic transparency, and AI governance.</w:t>
      </w:r>
      <w:r w:rsidR="00676C6C" w:rsidRPr="004E5A48">
        <w:rPr>
          <w:rFonts w:ascii="Arial Nova Cond" w:hAnsi="Arial Nova Cond"/>
          <w:sz w:val="24"/>
          <w:lang w:val="en-US"/>
        </w:rPr>
        <w:t xml:space="preserve"> </w:t>
      </w:r>
      <w:r w:rsidRPr="004E5A48">
        <w:rPr>
          <w:rFonts w:ascii="Arial Nova Cond" w:hAnsi="Arial Nova Cond"/>
          <w:sz w:val="24"/>
          <w:lang w:val="en-US"/>
        </w:rPr>
        <w:t>This orientation is reflected in recent EU legislation and policy initiatives (European Parliament &amp; Council of the European Union, 2024).</w:t>
      </w:r>
    </w:p>
    <w:p w14:paraId="66F1DC13" w14:textId="77777777" w:rsidR="00CB41E0" w:rsidRPr="004E5A48" w:rsidRDefault="00000000" w:rsidP="004E5A48">
      <w:pPr>
        <w:spacing w:after="60" w:line="276" w:lineRule="auto"/>
        <w:jc w:val="both"/>
        <w:rPr>
          <w:rFonts w:ascii="Arial Nova Cond" w:hAnsi="Arial Nova Cond"/>
          <w:sz w:val="24"/>
          <w:lang w:val="en-US"/>
        </w:rPr>
      </w:pPr>
      <w:r w:rsidRPr="004E5A48">
        <w:rPr>
          <w:rFonts w:ascii="Arial Nova Cond" w:hAnsi="Arial Nova Cond"/>
          <w:sz w:val="24"/>
          <w:lang w:val="en-US"/>
        </w:rPr>
        <w:t>The Platform Work Directive and the AI Act represent important examples of this strategy.</w:t>
      </w:r>
    </w:p>
    <w:p w14:paraId="6794C4BA" w14:textId="77777777" w:rsidR="00CB41E0" w:rsidRPr="004E5A48" w:rsidRDefault="00000000" w:rsidP="004E5A48">
      <w:pPr>
        <w:spacing w:after="60" w:line="276" w:lineRule="auto"/>
        <w:jc w:val="both"/>
        <w:rPr>
          <w:rFonts w:ascii="Arial Nova Cond" w:hAnsi="Arial Nova Cond"/>
          <w:b/>
          <w:bCs/>
          <w:sz w:val="24"/>
          <w:lang w:val="en-US"/>
        </w:rPr>
      </w:pPr>
      <w:r w:rsidRPr="004E5A48">
        <w:rPr>
          <w:rFonts w:ascii="Arial Nova Cond" w:hAnsi="Arial Nova Cond"/>
          <w:sz w:val="24"/>
          <w:lang w:val="en-US"/>
        </w:rPr>
        <w:t>Across Latin America, policy agendas more often emphasize digital and financial inclusion, administrative modernization, and entrepreneurship promotion.</w:t>
      </w:r>
    </w:p>
    <w:p w14:paraId="514C0F20" w14:textId="77777777" w:rsidR="00CB41E0" w:rsidRPr="004E5A48" w:rsidRDefault="00000000" w:rsidP="004E5A48">
      <w:pPr>
        <w:spacing w:after="60" w:line="276" w:lineRule="auto"/>
        <w:jc w:val="both"/>
        <w:rPr>
          <w:rFonts w:ascii="Arial Nova Cond" w:hAnsi="Arial Nova Cond"/>
          <w:sz w:val="24"/>
          <w:lang w:val="en-US"/>
        </w:rPr>
      </w:pPr>
      <w:r w:rsidRPr="004E5A48">
        <w:rPr>
          <w:rFonts w:ascii="Arial Nova Cond" w:hAnsi="Arial Nova Cond"/>
          <w:sz w:val="24"/>
          <w:lang w:val="en-US"/>
        </w:rPr>
        <w:t>While several countries have developed sophisticated digital governance systems, regulatory frameworks addressing algorithmic management remain less developed (ILO, 2021).</w:t>
      </w:r>
    </w:p>
    <w:p w14:paraId="6DED2C9E" w14:textId="77777777" w:rsidR="00CB41E0" w:rsidRPr="004E5A48" w:rsidRDefault="00000000" w:rsidP="004A5EFE">
      <w:pPr>
        <w:spacing w:after="0" w:line="240" w:lineRule="auto"/>
        <w:jc w:val="both"/>
        <w:rPr>
          <w:rFonts w:ascii="Arial Nova Cond" w:hAnsi="Arial Nova Cond"/>
          <w:b/>
          <w:bCs/>
          <w:color w:val="8C52FF"/>
          <w:sz w:val="24"/>
          <w:lang w:val="en-US"/>
        </w:rPr>
      </w:pPr>
      <w:r w:rsidRPr="004E5A48">
        <w:rPr>
          <w:rFonts w:ascii="Arial Nova Cond" w:hAnsi="Arial Nova Cond"/>
          <w:b/>
          <w:bCs/>
          <w:sz w:val="24"/>
          <w:lang w:val="en-US"/>
        </w:rPr>
        <w:t xml:space="preserve">Table </w:t>
      </w:r>
      <w:r w:rsidR="00801630" w:rsidRPr="004E5A48">
        <w:rPr>
          <w:rFonts w:ascii="Arial Nova Cond" w:hAnsi="Arial Nova Cond"/>
          <w:b/>
          <w:bCs/>
          <w:sz w:val="24"/>
          <w:lang w:val="en-US"/>
        </w:rPr>
        <w:t>6</w:t>
      </w:r>
      <w:r w:rsidRPr="004E5A48">
        <w:rPr>
          <w:rFonts w:ascii="Arial Nova Cond" w:hAnsi="Arial Nova Cond"/>
          <w:sz w:val="24"/>
          <w:lang w:val="en-US"/>
        </w:rPr>
        <w:t>. Digital Governance Priorities in the European Union and Latin America</w:t>
      </w:r>
    </w:p>
    <w:tbl>
      <w:tblPr>
        <w:tblW w:w="8784" w:type="dxa"/>
        <w:tblCellSpacing w:w="15" w:type="dxa"/>
        <w:tblBorders>
          <w:top w:val="single" w:sz="4" w:space="0" w:color="8C52FF"/>
          <w:left w:val="single" w:sz="4" w:space="0" w:color="8C52FF"/>
          <w:bottom w:val="single" w:sz="4" w:space="0" w:color="8C52FF"/>
          <w:right w:val="single" w:sz="4" w:space="0" w:color="8C52FF"/>
          <w:insideH w:val="single" w:sz="4" w:space="0" w:color="8C52FF"/>
          <w:insideV w:val="single" w:sz="4" w:space="0" w:color="8C52FF"/>
        </w:tblBorders>
        <w:tblCellMar>
          <w:top w:w="15" w:type="dxa"/>
          <w:left w:w="15" w:type="dxa"/>
          <w:bottom w:w="15" w:type="dxa"/>
          <w:right w:w="15" w:type="dxa"/>
        </w:tblCellMar>
        <w:tblLook w:val="04A0" w:firstRow="1" w:lastRow="0" w:firstColumn="1" w:lastColumn="0" w:noHBand="0" w:noVBand="1"/>
      </w:tblPr>
      <w:tblGrid>
        <w:gridCol w:w="2835"/>
        <w:gridCol w:w="2835"/>
        <w:gridCol w:w="3114"/>
      </w:tblGrid>
      <w:tr w:rsidR="009D79B0" w:rsidRPr="004E5A48" w14:paraId="1B65E101" w14:textId="77777777" w:rsidTr="00366912">
        <w:trPr>
          <w:tblCellSpacing w:w="15" w:type="dxa"/>
        </w:trPr>
        <w:tc>
          <w:tcPr>
            <w:tcW w:w="2790" w:type="dxa"/>
            <w:vAlign w:val="center"/>
            <w:hideMark/>
          </w:tcPr>
          <w:p w14:paraId="3ED59C1D" w14:textId="77777777" w:rsidR="00CB41E0" w:rsidRPr="004E5A48" w:rsidRDefault="00000000" w:rsidP="00801630">
            <w:pPr>
              <w:spacing w:after="0" w:line="240" w:lineRule="auto"/>
              <w:jc w:val="both"/>
              <w:rPr>
                <w:rFonts w:ascii="Arial Nova Cond" w:hAnsi="Arial Nova Cond"/>
                <w:b/>
                <w:bCs/>
                <w:sz w:val="24"/>
                <w:lang w:val="en-US"/>
              </w:rPr>
            </w:pPr>
            <w:r w:rsidRPr="004E5A48">
              <w:rPr>
                <w:rFonts w:ascii="Arial Nova Cond" w:hAnsi="Arial Nova Cond"/>
                <w:b/>
                <w:bCs/>
                <w:sz w:val="24"/>
                <w:lang w:val="en-US"/>
              </w:rPr>
              <w:t>Dimension</w:t>
            </w:r>
          </w:p>
        </w:tc>
        <w:tc>
          <w:tcPr>
            <w:tcW w:w="2805" w:type="dxa"/>
            <w:vAlign w:val="center"/>
            <w:hideMark/>
          </w:tcPr>
          <w:p w14:paraId="23D2E1F9" w14:textId="77777777" w:rsidR="00CB41E0" w:rsidRPr="004E5A48" w:rsidRDefault="00000000" w:rsidP="00801630">
            <w:pPr>
              <w:spacing w:after="0" w:line="240" w:lineRule="auto"/>
              <w:jc w:val="both"/>
              <w:rPr>
                <w:rFonts w:ascii="Arial Nova Cond" w:hAnsi="Arial Nova Cond"/>
                <w:b/>
                <w:bCs/>
                <w:sz w:val="24"/>
                <w:lang w:val="en-US"/>
              </w:rPr>
            </w:pPr>
            <w:r w:rsidRPr="004E5A48">
              <w:rPr>
                <w:rFonts w:ascii="Arial Nova Cond" w:hAnsi="Arial Nova Cond"/>
                <w:b/>
                <w:bCs/>
                <w:sz w:val="24"/>
                <w:lang w:val="en-US"/>
              </w:rPr>
              <w:t>European Union</w:t>
            </w:r>
          </w:p>
        </w:tc>
        <w:tc>
          <w:tcPr>
            <w:tcW w:w="3069" w:type="dxa"/>
            <w:vAlign w:val="center"/>
            <w:hideMark/>
          </w:tcPr>
          <w:p w14:paraId="6C33D456" w14:textId="77777777" w:rsidR="00CB41E0" w:rsidRPr="004E5A48" w:rsidRDefault="00000000" w:rsidP="00801630">
            <w:pPr>
              <w:spacing w:after="0" w:line="240" w:lineRule="auto"/>
              <w:jc w:val="both"/>
              <w:rPr>
                <w:rFonts w:ascii="Arial Nova Cond" w:hAnsi="Arial Nova Cond"/>
                <w:b/>
                <w:bCs/>
                <w:sz w:val="24"/>
                <w:lang w:val="en-US"/>
              </w:rPr>
            </w:pPr>
            <w:r w:rsidRPr="004E5A48">
              <w:rPr>
                <w:rFonts w:ascii="Arial Nova Cond" w:hAnsi="Arial Nova Cond"/>
                <w:b/>
                <w:bCs/>
                <w:sz w:val="24"/>
                <w:lang w:val="en-US"/>
              </w:rPr>
              <w:t>Latin America</w:t>
            </w:r>
          </w:p>
        </w:tc>
      </w:tr>
      <w:tr w:rsidR="009D79B0" w:rsidRPr="004E5A48" w14:paraId="1F291751" w14:textId="77777777" w:rsidTr="00366912">
        <w:trPr>
          <w:tblCellSpacing w:w="15" w:type="dxa"/>
        </w:trPr>
        <w:tc>
          <w:tcPr>
            <w:tcW w:w="2790" w:type="dxa"/>
            <w:vAlign w:val="center"/>
            <w:hideMark/>
          </w:tcPr>
          <w:p w14:paraId="2E759D49"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Primary concern</w:t>
            </w:r>
          </w:p>
        </w:tc>
        <w:tc>
          <w:tcPr>
            <w:tcW w:w="2805" w:type="dxa"/>
            <w:vAlign w:val="center"/>
            <w:hideMark/>
          </w:tcPr>
          <w:p w14:paraId="711FBCA7"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Labour rights</w:t>
            </w:r>
          </w:p>
        </w:tc>
        <w:tc>
          <w:tcPr>
            <w:tcW w:w="3069" w:type="dxa"/>
            <w:vAlign w:val="center"/>
            <w:hideMark/>
          </w:tcPr>
          <w:p w14:paraId="69954947"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Formalization</w:t>
            </w:r>
          </w:p>
        </w:tc>
      </w:tr>
      <w:tr w:rsidR="009D79B0" w:rsidRPr="004E5A48" w14:paraId="0B86D4CD" w14:textId="77777777" w:rsidTr="00366912">
        <w:trPr>
          <w:tblCellSpacing w:w="15" w:type="dxa"/>
        </w:trPr>
        <w:tc>
          <w:tcPr>
            <w:tcW w:w="2790" w:type="dxa"/>
            <w:vAlign w:val="center"/>
            <w:hideMark/>
          </w:tcPr>
          <w:p w14:paraId="06702ED5"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Digital taxation</w:t>
            </w:r>
          </w:p>
        </w:tc>
        <w:tc>
          <w:tcPr>
            <w:tcW w:w="2805" w:type="dxa"/>
            <w:vAlign w:val="center"/>
            <w:hideMark/>
          </w:tcPr>
          <w:p w14:paraId="18C161E5"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Advanced</w:t>
            </w:r>
          </w:p>
        </w:tc>
        <w:tc>
          <w:tcPr>
            <w:tcW w:w="3069" w:type="dxa"/>
            <w:vAlign w:val="center"/>
            <w:hideMark/>
          </w:tcPr>
          <w:p w14:paraId="4DD550BA"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Expanding</w:t>
            </w:r>
          </w:p>
        </w:tc>
      </w:tr>
      <w:tr w:rsidR="009D79B0" w:rsidRPr="004E5A48" w14:paraId="6D87DC81" w14:textId="77777777" w:rsidTr="00366912">
        <w:trPr>
          <w:tblCellSpacing w:w="15" w:type="dxa"/>
        </w:trPr>
        <w:tc>
          <w:tcPr>
            <w:tcW w:w="2790" w:type="dxa"/>
            <w:vAlign w:val="center"/>
            <w:hideMark/>
          </w:tcPr>
          <w:p w14:paraId="4E9E7F29"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Platform regulation</w:t>
            </w:r>
          </w:p>
        </w:tc>
        <w:tc>
          <w:tcPr>
            <w:tcW w:w="2805" w:type="dxa"/>
            <w:vAlign w:val="center"/>
            <w:hideMark/>
          </w:tcPr>
          <w:p w14:paraId="318114B2" w14:textId="77777777" w:rsidR="00116328" w:rsidRPr="004E5A48" w:rsidRDefault="00000000" w:rsidP="00801630">
            <w:pPr>
              <w:spacing w:after="0" w:line="240" w:lineRule="auto"/>
              <w:rPr>
                <w:rFonts w:ascii="Arial Nova Cond" w:hAnsi="Arial Nova Cond"/>
                <w:sz w:val="24"/>
              </w:rPr>
            </w:pPr>
            <w:r w:rsidRPr="004E5A48">
              <w:rPr>
                <w:rFonts w:ascii="Arial Nova Cond" w:hAnsi="Arial Nova Cond"/>
                <w:sz w:val="24"/>
              </w:rPr>
              <w:t>More institutionalized</w:t>
            </w:r>
          </w:p>
        </w:tc>
        <w:tc>
          <w:tcPr>
            <w:tcW w:w="3069" w:type="dxa"/>
            <w:vAlign w:val="center"/>
            <w:hideMark/>
          </w:tcPr>
          <w:p w14:paraId="4003D179" w14:textId="77777777" w:rsidR="00116328" w:rsidRPr="004E5A48" w:rsidRDefault="00000000" w:rsidP="00801630">
            <w:pPr>
              <w:spacing w:after="0" w:line="240" w:lineRule="auto"/>
              <w:rPr>
                <w:rFonts w:ascii="Arial Nova Cond" w:hAnsi="Arial Nova Cond"/>
                <w:sz w:val="24"/>
              </w:rPr>
            </w:pPr>
            <w:r w:rsidRPr="004E5A48">
              <w:rPr>
                <w:rFonts w:ascii="Arial Nova Cond" w:hAnsi="Arial Nova Cond"/>
                <w:sz w:val="24"/>
              </w:rPr>
              <w:t>Emerging / heterogeneous</w:t>
            </w:r>
          </w:p>
        </w:tc>
      </w:tr>
      <w:tr w:rsidR="009D79B0" w:rsidRPr="004E5A48" w14:paraId="77F64C82" w14:textId="77777777" w:rsidTr="00366912">
        <w:trPr>
          <w:tblCellSpacing w:w="15" w:type="dxa"/>
        </w:trPr>
        <w:tc>
          <w:tcPr>
            <w:tcW w:w="2790" w:type="dxa"/>
            <w:vAlign w:val="center"/>
            <w:hideMark/>
          </w:tcPr>
          <w:p w14:paraId="102340FE"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Digital identity</w:t>
            </w:r>
          </w:p>
        </w:tc>
        <w:tc>
          <w:tcPr>
            <w:tcW w:w="2805" w:type="dxa"/>
            <w:vAlign w:val="center"/>
            <w:hideMark/>
          </w:tcPr>
          <w:p w14:paraId="33811B21"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Mature</w:t>
            </w:r>
          </w:p>
        </w:tc>
        <w:tc>
          <w:tcPr>
            <w:tcW w:w="3069" w:type="dxa"/>
            <w:vAlign w:val="center"/>
            <w:hideMark/>
          </w:tcPr>
          <w:p w14:paraId="7AFA8612"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Developing</w:t>
            </w:r>
          </w:p>
        </w:tc>
      </w:tr>
      <w:tr w:rsidR="009D79B0" w:rsidRPr="004E5A48" w14:paraId="6C155047" w14:textId="77777777" w:rsidTr="00801630">
        <w:trPr>
          <w:trHeight w:val="425"/>
          <w:tblCellSpacing w:w="15" w:type="dxa"/>
        </w:trPr>
        <w:tc>
          <w:tcPr>
            <w:tcW w:w="2790" w:type="dxa"/>
            <w:vAlign w:val="center"/>
            <w:hideMark/>
          </w:tcPr>
          <w:p w14:paraId="3EE20DB0" w14:textId="77777777" w:rsidR="00CB41E0" w:rsidRPr="004E5A48" w:rsidRDefault="00000000" w:rsidP="00801630">
            <w:pPr>
              <w:spacing w:after="0" w:line="240" w:lineRule="auto"/>
              <w:jc w:val="both"/>
              <w:rPr>
                <w:rFonts w:ascii="Arial Nova Cond" w:hAnsi="Arial Nova Cond"/>
                <w:sz w:val="24"/>
                <w:lang w:val="en-US"/>
              </w:rPr>
            </w:pPr>
            <w:r w:rsidRPr="004E5A48">
              <w:rPr>
                <w:rFonts w:ascii="Arial Nova Cond" w:hAnsi="Arial Nova Cond"/>
                <w:sz w:val="24"/>
                <w:lang w:val="en-US"/>
              </w:rPr>
              <w:t>AI regulation</w:t>
            </w:r>
          </w:p>
        </w:tc>
        <w:tc>
          <w:tcPr>
            <w:tcW w:w="2805" w:type="dxa"/>
            <w:vAlign w:val="center"/>
            <w:hideMark/>
          </w:tcPr>
          <w:p w14:paraId="0133F986" w14:textId="77777777" w:rsidR="009D41F7" w:rsidRPr="004E5A48" w:rsidRDefault="00000000" w:rsidP="00801630">
            <w:pPr>
              <w:spacing w:after="0" w:line="240" w:lineRule="auto"/>
              <w:jc w:val="both"/>
              <w:rPr>
                <w:rFonts w:ascii="Arial Nova Cond" w:hAnsi="Arial Nova Cond"/>
                <w:sz w:val="24"/>
              </w:rPr>
            </w:pPr>
            <w:r w:rsidRPr="004E5A48">
              <w:rPr>
                <w:rFonts w:ascii="Arial Nova Cond" w:hAnsi="Arial Nova Cond"/>
                <w:sz w:val="24"/>
              </w:rPr>
              <w:t>More developed regulatory framework</w:t>
            </w:r>
          </w:p>
        </w:tc>
        <w:tc>
          <w:tcPr>
            <w:tcW w:w="3069" w:type="dxa"/>
            <w:vAlign w:val="center"/>
            <w:hideMark/>
          </w:tcPr>
          <w:p w14:paraId="41F84253" w14:textId="77777777" w:rsidR="009D41F7" w:rsidRPr="004E5A48" w:rsidRDefault="00000000" w:rsidP="00801630">
            <w:pPr>
              <w:spacing w:after="0" w:line="240" w:lineRule="auto"/>
              <w:jc w:val="both"/>
              <w:rPr>
                <w:rFonts w:ascii="Arial Nova Cond" w:hAnsi="Arial Nova Cond"/>
                <w:sz w:val="24"/>
              </w:rPr>
            </w:pPr>
            <w:r w:rsidRPr="004E5A48">
              <w:rPr>
                <w:rFonts w:ascii="Arial Nova Cond" w:hAnsi="Arial Nova Cond"/>
                <w:sz w:val="24"/>
              </w:rPr>
              <w:t>Less developed/heterogeneous</w:t>
            </w:r>
          </w:p>
        </w:tc>
      </w:tr>
    </w:tbl>
    <w:p w14:paraId="08B5AF34" w14:textId="77777777" w:rsidR="00CB41E0" w:rsidRPr="004E5A48" w:rsidRDefault="00000000" w:rsidP="00801630">
      <w:pPr>
        <w:spacing w:after="240" w:line="240" w:lineRule="auto"/>
        <w:jc w:val="both"/>
        <w:rPr>
          <w:rFonts w:ascii="Arial Nova Cond" w:hAnsi="Arial Nova Cond"/>
          <w:sz w:val="20"/>
          <w:szCs w:val="20"/>
          <w:lang w:val="en-US"/>
        </w:rPr>
      </w:pPr>
      <w:r w:rsidRPr="004E5A48">
        <w:rPr>
          <w:rFonts w:ascii="Arial Nova Cond" w:hAnsi="Arial Nova Cond"/>
          <w:sz w:val="20"/>
          <w:szCs w:val="20"/>
          <w:lang w:val="en-US"/>
        </w:rPr>
        <w:lastRenderedPageBreak/>
        <w:t xml:space="preserve">Source: Author’s stylized comparative synthesis based on the European Parliament </w:t>
      </w:r>
      <w:r w:rsidR="0009415F" w:rsidRPr="004E5A48">
        <w:rPr>
          <w:rFonts w:ascii="Arial Nova Cond" w:hAnsi="Arial Nova Cond"/>
          <w:sz w:val="20"/>
          <w:szCs w:val="20"/>
          <w:lang w:val="en-US"/>
        </w:rPr>
        <w:t>&amp;</w:t>
      </w:r>
      <w:r w:rsidRPr="004E5A48">
        <w:rPr>
          <w:rFonts w:ascii="Arial Nova Cond" w:hAnsi="Arial Nova Cond"/>
          <w:sz w:val="20"/>
          <w:szCs w:val="20"/>
          <w:lang w:val="en-US"/>
        </w:rPr>
        <w:t xml:space="preserve"> Council of the European Union (2024), OECD (2023), and ILO (2021). The categories are comparative descriptors, not standardized indices. “Advanced/mature/more developed” denotes comparatively extensive institutionalization in the cited evidence (e.g., established legal/administrative frameworks and broad implementation); “expanding/developing/emerging” denotes active but uneven or incomplete institutionalization; “less developed/heterogeneous” denotes substantial cross-country variation and less comprehensive regional coverage. The table should therefore be read as a heuristic regional comparison rather than a country-level ranking.</w:t>
      </w:r>
    </w:p>
    <w:p w14:paraId="3D0F17A9" w14:textId="77777777" w:rsidR="00CB41E0"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These differences suggest a hypothesis for comparative research: emerging technologies may interact with hybrid informality differently across institutional contexts. Establishing this relationship requires systematic cross-country evidence rather than inference from regulatory design alone.</w:t>
      </w:r>
    </w:p>
    <w:p w14:paraId="070B89F6" w14:textId="77777777" w:rsidR="009D41F7" w:rsidRPr="004E5A48" w:rsidRDefault="00000000" w:rsidP="00801630">
      <w:pPr>
        <w:pStyle w:val="Ttulo1"/>
      </w:pPr>
      <w:r w:rsidRPr="004E5A48">
        <w:t>6. Critical Debate and Research Gaps</w:t>
      </w:r>
    </w:p>
    <w:p w14:paraId="60B8547E"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The literature converges most strongly on two findings. First, digitalization reorganizes and increases the visibility of informal activity without necessarily eliminating deficits in labour or social protection. Second, outcomes are institutionally contingent: similar technologies can produce different effects depending on administrative capacity, regulation, labour-market institutions and access to social protection (Berg et al., 2018; Wood et al., 2019; ILO, 2021; OECD, ILO, &amp; European Union, 2023). Evidence is strongest for platform-mediated work and for the measurement problems created by multiple jobholding, cross-border work, and restricted access to platform data.</w:t>
      </w:r>
    </w:p>
    <w:p w14:paraId="1A8E5379"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 xml:space="preserve">The main analytical tension is between formalization and precarity. Digital payments, </w:t>
      </w:r>
      <w:r w:rsidR="00373238" w:rsidRPr="004E5A48">
        <w:rPr>
          <w:rFonts w:ascii="Arial Nova Cond" w:hAnsi="Arial Nova Cond"/>
          <w:sz w:val="24"/>
          <w:lang w:val="en-US"/>
        </w:rPr>
        <w:t>registration,</w:t>
      </w:r>
      <w:r w:rsidRPr="004E5A48">
        <w:rPr>
          <w:rFonts w:ascii="Arial Nova Cond" w:hAnsi="Arial Nova Cond"/>
          <w:sz w:val="24"/>
          <w:lang w:val="en-US"/>
        </w:rPr>
        <w:t xml:space="preserve"> and electronic taxation can lower transaction costs and increase institutional visibility, while employment misclassification, algorithmic control, and platform dependence may leave workers outside key protections (Wood et al., 2019; De Stefano, 2022). These processes can coexist, which is precisely the empirical pattern that the hybrid-informality framework seeks to organize. Evidence for the integrated concept is moderate: its component dimensions are documented, but the construct has not yet been systematically </w:t>
      </w:r>
      <w:r w:rsidR="00471AC9" w:rsidRPr="004E5A48">
        <w:rPr>
          <w:rFonts w:ascii="Arial Nova Cond" w:hAnsi="Arial Nova Cond"/>
          <w:sz w:val="24"/>
          <w:lang w:val="en-US"/>
        </w:rPr>
        <w:t>evaluated</w:t>
      </w:r>
      <w:r w:rsidRPr="004E5A48">
        <w:rPr>
          <w:rFonts w:ascii="Arial Nova Cond" w:hAnsi="Arial Nova Cond"/>
          <w:sz w:val="24"/>
          <w:lang w:val="en-US"/>
        </w:rPr>
        <w:t xml:space="preserve"> against alternative multidimensional or continuum-based frameworks.</w:t>
      </w:r>
    </w:p>
    <w:p w14:paraId="6124F96F" w14:textId="77777777" w:rsidR="009D41F7" w:rsidRPr="004E5A48" w:rsidRDefault="00000000" w:rsidP="004A5EFE">
      <w:pPr>
        <w:jc w:val="both"/>
        <w:rPr>
          <w:rFonts w:ascii="Arial Nova Cond" w:hAnsi="Arial Nova Cond"/>
          <w:sz w:val="24"/>
          <w:lang w:val="en-US"/>
        </w:rPr>
      </w:pPr>
      <w:r w:rsidRPr="004E5A48">
        <w:rPr>
          <w:rFonts w:ascii="Arial Nova Cond" w:hAnsi="Arial Nova Cond"/>
          <w:sz w:val="24"/>
          <w:lang w:val="en-US"/>
        </w:rPr>
        <w:t xml:space="preserve">Important gaps remain. Evidence is concentrated in ride-hailing, </w:t>
      </w:r>
      <w:r w:rsidR="00471AC9" w:rsidRPr="004E5A48">
        <w:rPr>
          <w:rFonts w:ascii="Arial Nova Cond" w:hAnsi="Arial Nova Cond"/>
          <w:sz w:val="24"/>
          <w:lang w:val="en-US"/>
        </w:rPr>
        <w:t>delivery,</w:t>
      </w:r>
      <w:r w:rsidRPr="004E5A48">
        <w:rPr>
          <w:rFonts w:ascii="Arial Nova Cond" w:hAnsi="Arial Nova Cond"/>
          <w:sz w:val="24"/>
          <w:lang w:val="en-US"/>
        </w:rPr>
        <w:t xml:space="preserve"> and online freelancing, with fewer systematic studies of social-media commerce, content creation, and mixed online-offline </w:t>
      </w:r>
      <w:r w:rsidR="00471AC9" w:rsidRPr="004E5A48">
        <w:rPr>
          <w:rFonts w:ascii="Arial Nova Cond" w:hAnsi="Arial Nova Cond"/>
          <w:sz w:val="24"/>
          <w:lang w:val="en-US"/>
        </w:rPr>
        <w:t>micro-enterprise</w:t>
      </w:r>
      <w:r w:rsidRPr="004E5A48">
        <w:rPr>
          <w:rFonts w:ascii="Arial Nova Cond" w:hAnsi="Arial Nova Cond"/>
          <w:sz w:val="24"/>
          <w:lang w:val="en-US"/>
        </w:rPr>
        <w:t>. Longitudinal and causal evidence is scarce, definitions remain inconsistent, and private control of platform data limits comparability. Claims concerning AI, automated compliance, and blockchain are especially tentative and should be treated as research propositions rather than established effects (Jovanovic et al., 2022; Zuboff, 2019).</w:t>
      </w:r>
    </w:p>
    <w:p w14:paraId="6282052B" w14:textId="77777777" w:rsidR="00CB41E0" w:rsidRPr="004E5A48" w:rsidRDefault="00000000" w:rsidP="004A5EFE">
      <w:pPr>
        <w:pStyle w:val="Ttulo1"/>
        <w:rPr>
          <w:rFonts w:ascii="Arial Nova Cond" w:hAnsi="Arial Nova Cond"/>
          <w:sz w:val="24"/>
          <w:szCs w:val="24"/>
        </w:rPr>
      </w:pPr>
      <w:r w:rsidRPr="004E5A48">
        <w:rPr>
          <w:rFonts w:ascii="Arial Nova Cond" w:hAnsi="Arial Nova Cond"/>
          <w:sz w:val="24"/>
          <w:szCs w:val="24"/>
        </w:rPr>
        <w:lastRenderedPageBreak/>
        <w:t>7. Conclusion</w:t>
      </w:r>
    </w:p>
    <w:p w14:paraId="310D2767" w14:textId="77777777" w:rsidR="00530732" w:rsidRPr="004E5A48" w:rsidRDefault="00000000" w:rsidP="004A5EFE">
      <w:pPr>
        <w:spacing w:after="60" w:line="276" w:lineRule="auto"/>
        <w:jc w:val="both"/>
        <w:rPr>
          <w:rFonts w:ascii="Arial Nova Cond" w:hAnsi="Arial Nova Cond"/>
          <w:sz w:val="24"/>
          <w:lang w:val="en-US"/>
        </w:rPr>
      </w:pPr>
      <w:r w:rsidRPr="004E5A48">
        <w:rPr>
          <w:rFonts w:ascii="Arial Nova Cond" w:hAnsi="Arial Nova Cond"/>
          <w:sz w:val="24"/>
          <w:lang w:val="en-US"/>
        </w:rPr>
        <w:t xml:space="preserve">Digitalization is transforming informal economic activity without producing a uniform transition to formality. The strongest evidence concerns platform work: digital visibility and algorithmic coordination can coexist with gaps in employment rights and social protection. Evidence also shows that statistical systems face growing classification and data-access problems as workers combine employment statuses, </w:t>
      </w:r>
      <w:r w:rsidR="00667552" w:rsidRPr="004E5A48">
        <w:rPr>
          <w:rFonts w:ascii="Arial Nova Cond" w:hAnsi="Arial Nova Cond"/>
          <w:sz w:val="24"/>
          <w:lang w:val="en-US"/>
        </w:rPr>
        <w:t>platforms,</w:t>
      </w:r>
      <w:r w:rsidRPr="004E5A48">
        <w:rPr>
          <w:rFonts w:ascii="Arial Nova Cond" w:hAnsi="Arial Nova Cond"/>
          <w:sz w:val="24"/>
          <w:lang w:val="en-US"/>
        </w:rPr>
        <w:t xml:space="preserve"> and cross-border activities. Digital government, electronic </w:t>
      </w:r>
      <w:r w:rsidR="00667552" w:rsidRPr="004E5A48">
        <w:rPr>
          <w:rFonts w:ascii="Arial Nova Cond" w:hAnsi="Arial Nova Cond"/>
          <w:sz w:val="24"/>
          <w:lang w:val="en-US"/>
        </w:rPr>
        <w:t>invoicing,</w:t>
      </w:r>
      <w:r w:rsidRPr="004E5A48">
        <w:rPr>
          <w:rFonts w:ascii="Arial Nova Cond" w:hAnsi="Arial Nova Cond"/>
          <w:sz w:val="24"/>
          <w:lang w:val="en-US"/>
        </w:rPr>
        <w:t xml:space="preserve"> and digital identity can facilitate institutional integration, but their effects depend on administrative capacity, regulatory quality, and social-protection institutions. The concept of hybrid informality is therefore proposed as a testable framework for arrangements combining digital visibility, partial institutional integration, and persistent protection deficits. Its comparative value relative to other multidimensional approaches remains to be established. Claims concerning AI, blockchain, and automated compliance should remain provisional: existing evidence supports experimentation and identifies plausible </w:t>
      </w:r>
      <w:r w:rsidR="00667552" w:rsidRPr="004E5A48">
        <w:rPr>
          <w:rFonts w:ascii="Arial Nova Cond" w:hAnsi="Arial Nova Cond"/>
          <w:sz w:val="24"/>
          <w:lang w:val="en-US"/>
        </w:rPr>
        <w:t>mechanisms but</w:t>
      </w:r>
      <w:r w:rsidRPr="004E5A48">
        <w:rPr>
          <w:rFonts w:ascii="Arial Nova Cond" w:hAnsi="Arial Nova Cond"/>
          <w:sz w:val="24"/>
          <w:lang w:val="en-US"/>
        </w:rPr>
        <w:t xml:space="preserve"> does not yet establish systematic effects on informality or formalization. Future research should prioritize longitudinal and cross-country tests, access to platform data, multidimensional measurement, and explicit comparison of emerging technologies with established statistical and administrative tools.</w:t>
      </w:r>
    </w:p>
    <w:p w14:paraId="60AD59A8" w14:textId="77777777" w:rsidR="00CB41E0" w:rsidRPr="004E5A48" w:rsidRDefault="00000000" w:rsidP="004A5EFE">
      <w:pPr>
        <w:pStyle w:val="Ttulo1"/>
        <w:rPr>
          <w:rFonts w:ascii="Arial Nova Cond" w:hAnsi="Arial Nova Cond"/>
          <w:sz w:val="24"/>
          <w:szCs w:val="24"/>
        </w:rPr>
      </w:pPr>
      <w:r w:rsidRPr="004E5A48">
        <w:rPr>
          <w:rFonts w:ascii="Arial Nova Cond" w:hAnsi="Arial Nova Cond"/>
          <w:sz w:val="24"/>
          <w:szCs w:val="24"/>
        </w:rPr>
        <w:t>References</w:t>
      </w:r>
    </w:p>
    <w:p w14:paraId="7555678E"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Acemoglu, D., &amp; Johnson, S. (2023). </w:t>
      </w:r>
      <w:r w:rsidRPr="004E5A48">
        <w:rPr>
          <w:rFonts w:ascii="Arial Nova Cond" w:hAnsi="Arial Nova Cond"/>
          <w:i/>
          <w:iCs/>
          <w:sz w:val="24"/>
          <w:lang w:val="en-US"/>
        </w:rPr>
        <w:t>Power and progress: Our thousand-year struggle over technology and prosperity</w:t>
      </w:r>
      <w:r w:rsidRPr="004E5A48">
        <w:rPr>
          <w:rFonts w:ascii="Arial Nova Cond" w:hAnsi="Arial Nova Cond"/>
          <w:sz w:val="24"/>
          <w:lang w:val="en-US"/>
        </w:rPr>
        <w:t>. PublicAffairs.</w:t>
      </w:r>
    </w:p>
    <w:p w14:paraId="6872B782"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Acemoglu, D., &amp; Restrepo, P. (2019). Automation and new tasks: How technology displaces and reinstates labor. </w:t>
      </w:r>
      <w:r w:rsidRPr="004E5A48">
        <w:rPr>
          <w:rFonts w:ascii="Arial Nova Cond" w:hAnsi="Arial Nova Cond"/>
          <w:i/>
          <w:iCs/>
          <w:sz w:val="24"/>
          <w:lang w:val="en-US"/>
        </w:rPr>
        <w:t>Journal of Economic Perspectives</w:t>
      </w:r>
      <w:r w:rsidRPr="004E5A48">
        <w:rPr>
          <w:rFonts w:ascii="Arial Nova Cond" w:hAnsi="Arial Nova Cond"/>
          <w:sz w:val="24"/>
          <w:lang w:val="en-US"/>
        </w:rPr>
        <w:t>, 33(2), 3–30. https://doi.org/10.1257/jep.33.2.3</w:t>
      </w:r>
    </w:p>
    <w:p w14:paraId="13F6D90F"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Aker, J. C., &amp; Blumenstock, J. E. (2015). The economic impact of new technologies in Africa. In C. Monga &amp; J. Y. Lin (Eds.), </w:t>
      </w:r>
      <w:r w:rsidRPr="004E5A48">
        <w:rPr>
          <w:rFonts w:ascii="Arial Nova Cond" w:hAnsi="Arial Nova Cond"/>
          <w:i/>
          <w:iCs/>
          <w:sz w:val="24"/>
          <w:lang w:val="en-US"/>
        </w:rPr>
        <w:t>The Oxford Handbook of Africa and Economics</w:t>
      </w:r>
      <w:r w:rsidRPr="004E5A48">
        <w:rPr>
          <w:rFonts w:ascii="Arial Nova Cond" w:hAnsi="Arial Nova Cond"/>
          <w:sz w:val="24"/>
          <w:lang w:val="en-US"/>
        </w:rPr>
        <w:t xml:space="preserve"> (Vol. 2, pp. 354–371). Oxford University Press.</w:t>
      </w:r>
    </w:p>
    <w:p w14:paraId="7FF1DE53"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Autor, D. H. (2015). Why are there still so many jobs? The history and future of workplace automation. </w:t>
      </w:r>
      <w:r w:rsidRPr="004E5A48">
        <w:rPr>
          <w:rFonts w:ascii="Arial Nova Cond" w:hAnsi="Arial Nova Cond"/>
          <w:i/>
          <w:iCs/>
          <w:sz w:val="24"/>
          <w:lang w:val="en-US"/>
        </w:rPr>
        <w:t>Journal of Economic Perspectives</w:t>
      </w:r>
      <w:r w:rsidRPr="004E5A48">
        <w:rPr>
          <w:rFonts w:ascii="Arial Nova Cond" w:hAnsi="Arial Nova Cond"/>
          <w:sz w:val="24"/>
          <w:lang w:val="en-US"/>
        </w:rPr>
        <w:t>, 29(3), 3–30. https://doi.org/10.1257/jep.29.3.3</w:t>
      </w:r>
    </w:p>
    <w:p w14:paraId="7CEB1A19"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Baumeister, R. F., &amp; Leary, M. R. (1997). Writing narrative literature reviews. </w:t>
      </w:r>
      <w:r w:rsidRPr="004E5A48">
        <w:rPr>
          <w:rFonts w:ascii="Arial Nova Cond" w:hAnsi="Arial Nova Cond"/>
          <w:i/>
          <w:iCs/>
          <w:sz w:val="24"/>
          <w:lang w:val="en-US"/>
        </w:rPr>
        <w:t>Review of General Psychology</w:t>
      </w:r>
      <w:r w:rsidRPr="004E5A48">
        <w:rPr>
          <w:rFonts w:ascii="Arial Nova Cond" w:hAnsi="Arial Nova Cond"/>
          <w:sz w:val="24"/>
          <w:lang w:val="en-US"/>
        </w:rPr>
        <w:t>, 1(3), 311–320. https://doi.org/10.1037/1089-2680.1.3.311</w:t>
      </w:r>
    </w:p>
    <w:p w14:paraId="62552C56"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Berg, J. (2016). Income security in the on-demand economy. </w:t>
      </w:r>
      <w:r w:rsidRPr="004E5A48">
        <w:rPr>
          <w:rFonts w:ascii="Arial Nova Cond" w:hAnsi="Arial Nova Cond"/>
          <w:i/>
          <w:iCs/>
          <w:sz w:val="24"/>
          <w:lang w:val="en-US"/>
        </w:rPr>
        <w:t>Comparative Labor Law &amp; Policy Journal</w:t>
      </w:r>
      <w:r w:rsidRPr="004E5A48">
        <w:rPr>
          <w:rFonts w:ascii="Arial Nova Cond" w:hAnsi="Arial Nova Cond"/>
          <w:sz w:val="24"/>
          <w:lang w:val="en-US"/>
        </w:rPr>
        <w:t>, 37(3), 543–576.</w:t>
      </w:r>
    </w:p>
    <w:p w14:paraId="7892D7CC"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lastRenderedPageBreak/>
        <w:t xml:space="preserve">Berg, J., Furrer, M., Harmon, E., Rani, U., &amp; Silberman, M. S. (2018). </w:t>
      </w:r>
      <w:r w:rsidRPr="004E5A48">
        <w:rPr>
          <w:rFonts w:ascii="Arial Nova Cond" w:hAnsi="Arial Nova Cond"/>
          <w:i/>
          <w:iCs/>
          <w:sz w:val="24"/>
          <w:lang w:val="en-US"/>
        </w:rPr>
        <w:t>Digital labour platforms and the future of work: Towards decent work in the online world</w:t>
      </w:r>
      <w:r w:rsidRPr="004E5A48">
        <w:rPr>
          <w:rFonts w:ascii="Arial Nova Cond" w:hAnsi="Arial Nova Cond"/>
          <w:sz w:val="24"/>
          <w:lang w:val="en-US"/>
        </w:rPr>
        <w:t>. International Labour Office.</w:t>
      </w:r>
    </w:p>
    <w:p w14:paraId="346DB747"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Brynjolfsson, E., &amp; McAfee, A. (2014). </w:t>
      </w:r>
      <w:r w:rsidRPr="004E5A48">
        <w:rPr>
          <w:rFonts w:ascii="Arial Nova Cond" w:hAnsi="Arial Nova Cond"/>
          <w:i/>
          <w:iCs/>
          <w:sz w:val="24"/>
          <w:lang w:val="en-US"/>
        </w:rPr>
        <w:t>The second machine age: Work, progress, and prosperity in a time of brilliant technologies</w:t>
      </w:r>
      <w:r w:rsidRPr="004E5A48">
        <w:rPr>
          <w:rFonts w:ascii="Arial Nova Cond" w:hAnsi="Arial Nova Cond"/>
          <w:sz w:val="24"/>
          <w:lang w:val="en-US"/>
        </w:rPr>
        <w:t>. W. W. Norton.</w:t>
      </w:r>
    </w:p>
    <w:p w14:paraId="701CF688"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Castells, M. (2010). </w:t>
      </w:r>
      <w:r w:rsidRPr="004E5A48">
        <w:rPr>
          <w:rFonts w:ascii="Arial Nova Cond" w:hAnsi="Arial Nova Cond"/>
          <w:i/>
          <w:iCs/>
          <w:sz w:val="24"/>
          <w:lang w:val="en-US"/>
        </w:rPr>
        <w:t>The rise of the network society</w:t>
      </w:r>
      <w:r w:rsidRPr="004E5A48">
        <w:rPr>
          <w:rFonts w:ascii="Arial Nova Cond" w:hAnsi="Arial Nova Cond"/>
          <w:sz w:val="24"/>
          <w:lang w:val="en-US"/>
        </w:rPr>
        <w:t xml:space="preserve"> (2nd ed.). Wiley-Blackwell.</w:t>
      </w:r>
    </w:p>
    <w:p w14:paraId="222AB426"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Chen, M. A. (2012). </w:t>
      </w:r>
      <w:r w:rsidRPr="004E5A48">
        <w:rPr>
          <w:rFonts w:ascii="Arial Nova Cond" w:hAnsi="Arial Nova Cond"/>
          <w:i/>
          <w:iCs/>
          <w:sz w:val="24"/>
          <w:lang w:val="en-US"/>
        </w:rPr>
        <w:t>The informal economy: Definitions, theories, and policies</w:t>
      </w:r>
      <w:r w:rsidRPr="004E5A48">
        <w:rPr>
          <w:rFonts w:ascii="Arial Nova Cond" w:hAnsi="Arial Nova Cond"/>
          <w:sz w:val="24"/>
          <w:lang w:val="en-US"/>
        </w:rPr>
        <w:t>. WIEGO Working Paper No. 1.</w:t>
      </w:r>
    </w:p>
    <w:p w14:paraId="5B4DC947"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Chen, M. A., Bonner, C., &amp; Carré, F. (2015). Organizing informal workers. </w:t>
      </w:r>
      <w:r w:rsidRPr="004E5A48">
        <w:rPr>
          <w:rFonts w:ascii="Arial Nova Cond" w:hAnsi="Arial Nova Cond"/>
          <w:i/>
          <w:iCs/>
          <w:sz w:val="24"/>
          <w:lang w:val="en-US"/>
        </w:rPr>
        <w:t>Industrial Relations Journal</w:t>
      </w:r>
      <w:r w:rsidRPr="004E5A48">
        <w:rPr>
          <w:rFonts w:ascii="Arial Nova Cond" w:hAnsi="Arial Nova Cond"/>
          <w:sz w:val="24"/>
          <w:lang w:val="en-US"/>
        </w:rPr>
        <w:t>, 46(2), 95–110.</w:t>
      </w:r>
    </w:p>
    <w:p w14:paraId="522FA0D4"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Cook, S., &amp; Rani, U. (2023). Platform work in developing economies: Can digitalisation drive structural transformation? (SCIS Working Paper No. 63). Southern Centre for Inequality Studies, University of the Witwatersrand.</w:t>
      </w:r>
    </w:p>
    <w:p w14:paraId="0839BE69"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De Stefano, V. (2022). Platform work and employment relationships: Approaches and challenges. Comparative Labor Law &amp; Policy Journal, 43(2), 321–348.</w:t>
      </w:r>
    </w:p>
    <w:p w14:paraId="2A4A6A02"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Demirgüç-Kunt, A., Klapper, L., Singer, D., &amp; Ansar, S. (2022). The Global Findex Database 2021: Financial inclusion, digital payments, and resilience in the age of COVID-19. World Bank. https://doi.org/10.1596/978-1-4648-1897-4</w:t>
      </w:r>
    </w:p>
    <w:p w14:paraId="03D19A7C"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European Parliament &amp; Council of the European Union. (2024). Directive (EU) 2024/2831 of 23 October 2024 on improving working conditions in platform work. Official Journal of the European Union.</w:t>
      </w:r>
    </w:p>
    <w:p w14:paraId="1B202CAA"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Goldfarb, A., &amp; Tucker, C. (2019). Digital economics. Journal of Economic Literature, 57(1), 3–43. https://doi.org/10.1257/jel.20171452</w:t>
      </w:r>
    </w:p>
    <w:p w14:paraId="3C5E3047"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Graham, M., Hjorth, I., &amp; Lehdonvirta, V. (2017). Digital labour and development. Transfer, 23(2), 135–162.</w:t>
      </w:r>
    </w:p>
    <w:p w14:paraId="046EE851"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Hart, K. (1973). Informal income opportunities and urban employment in Ghana. The Journal of Modern African Studies, 11(1), 61–89. https://doi.org/10.1017/S0022278X00008089</w:t>
      </w:r>
    </w:p>
    <w:p w14:paraId="2DD31AB5"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Heeks, R. (2021). Digital economies and digital labour markets in developing countries. Centre for Development Informatics, University of Manchester.</w:t>
      </w:r>
    </w:p>
    <w:p w14:paraId="16B45CD6"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Hunt, A., &amp; Samman, E. (2019). Gender and the gig economy: Critical steps for evidence-based policy. Overseas Development Institute.</w:t>
      </w:r>
    </w:p>
    <w:p w14:paraId="205A315F"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International Labour Organization. (2018). Women and men in the informal economy: A statistical picture (3rd ed.). International Labour Office.</w:t>
      </w:r>
    </w:p>
    <w:p w14:paraId="3F24C2C2"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lastRenderedPageBreak/>
        <w:t>International Labour Organization. (2021). World employment and social outlook 2021: The role of digital labour platforms in transforming the world of work. International Labour Office.</w:t>
      </w:r>
    </w:p>
    <w:p w14:paraId="00505DA1"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Jovanovic, M., Kostić, N., Sebastian, I. M., &amp; Sedej, T. (2022). Managing a blockchain-based platform ecosystem for industry-wide adoption: The case of TradeLens. Information Systems Journal, 32(1), 13–45.</w:t>
      </w:r>
    </w:p>
    <w:p w14:paraId="2624921A"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Kellogg, K. C., Valentine, M. A., &amp; Christin, A. (2020). Algorithms at work: The new contested terrain of control. Academy of Management Annals, 14(1), 366–410. https://doi.org/10.5465/annals.2018.0174</w:t>
      </w:r>
    </w:p>
    <w:p w14:paraId="6405B427"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Lewis, W. A. (1954). Economic development with unlimited supplies of labour. Manchester School, 22(2), 139–191.</w:t>
      </w:r>
    </w:p>
    <w:p w14:paraId="49DD3A0C"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Maiti, D., &amp; Khari, B. (2025). Digitalisation, e-governance and the informal sector. Structural Change and Economic Dynamics, 75, 451–463. https://doi.org/10.1016/j.strueco.2025.08.007</w:t>
      </w:r>
    </w:p>
    <w:p w14:paraId="4708BE31"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Medina, L., &amp; Schneider, F. (2019). Shedding light on the shadow economy: A global database and the interaction with the official one. CESifo Working Paper No. 7981.</w:t>
      </w:r>
    </w:p>
    <w:p w14:paraId="357543DB"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Muralidharan, K., Niehaus, P., &amp; Sukhtankar, S. (2021). Building state capacity through biometric identification systems. American Economic Review, 111(5), 1445–1490.</w:t>
      </w:r>
    </w:p>
    <w:p w14:paraId="6EB8EB2B"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OECD, International Labour Organization, &amp; European Union. (2023). Handbook on measuring digital platform employment and work. OECD Publishing. https://doi.org/10.1787/0ddcac3b-en</w:t>
      </w:r>
    </w:p>
    <w:p w14:paraId="4722BCD1" w14:textId="77777777" w:rsidR="00116328" w:rsidRPr="004E5A48" w:rsidRDefault="00000000" w:rsidP="00801630">
      <w:pPr>
        <w:spacing w:after="60"/>
        <w:ind w:left="360" w:hanging="360"/>
        <w:jc w:val="both"/>
        <w:rPr>
          <w:rFonts w:ascii="Arial Nova Cond" w:hAnsi="Arial Nova Cond"/>
          <w:sz w:val="24"/>
        </w:rPr>
      </w:pPr>
      <w:r w:rsidRPr="004E5A48">
        <w:rPr>
          <w:rFonts w:ascii="Arial Nova Cond" w:hAnsi="Arial Nova Cond"/>
          <w:sz w:val="24"/>
          <w:lang w:val="en-US"/>
        </w:rPr>
        <w:t xml:space="preserve">OECD. (2023). Tax administration 2023: Comparative information on OECD and other advanced and emerging economies. </w:t>
      </w:r>
      <w:r w:rsidRPr="004E5A48">
        <w:rPr>
          <w:rFonts w:ascii="Arial Nova Cond" w:hAnsi="Arial Nova Cond"/>
          <w:sz w:val="24"/>
        </w:rPr>
        <w:t>OECD Publishing. https://doi.org/10.1787/900b6382-en</w:t>
      </w:r>
    </w:p>
    <w:p w14:paraId="1AB282DB"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rPr>
        <w:t xml:space="preserve">Pesole, A., Urzì Brancati, M. C., Fernández-Macías, E., Biagi, F., &amp; González Vázquez, I. (2018). </w:t>
      </w:r>
      <w:r w:rsidRPr="004E5A48">
        <w:rPr>
          <w:rFonts w:ascii="Arial Nova Cond" w:hAnsi="Arial Nova Cond"/>
          <w:sz w:val="24"/>
          <w:lang w:val="en-US"/>
        </w:rPr>
        <w:t>Platform workers in Europe: Evidence from the COLLEEM survey (EUR 29275 EN). Publications Office of the European Union. https://doi.org/10.2760/742789</w:t>
      </w:r>
    </w:p>
    <w:p w14:paraId="4D52D8BC"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Portes, A., &amp; Haller, W. (2005). The informal economy. In N. Smelser &amp; R. Swedberg (Eds.), The Handbook of Economic Sociology (2nd ed., pp. 403–425). Princeton University Press.</w:t>
      </w:r>
    </w:p>
    <w:p w14:paraId="7E518194"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Portes, A., Castells, M., &amp; Benton, L. A. (Eds.). (1989). The informal economy: Studies in advanced and less developed countries. Johns Hopkins University Press.</w:t>
      </w:r>
    </w:p>
    <w:p w14:paraId="17E51071"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Rani, U., &amp; Furrer, M. (2021). Digital labour platforms and new forms of employment. International Labour Review, 160(1), 1–22.</w:t>
      </w:r>
    </w:p>
    <w:p w14:paraId="49B47453"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 xml:space="preserve">Rosenblat, A. (2018). </w:t>
      </w:r>
      <w:r w:rsidR="00FB22A4" w:rsidRPr="004E5A48">
        <w:rPr>
          <w:rFonts w:ascii="Arial Nova Cond" w:hAnsi="Arial Nova Cond"/>
          <w:sz w:val="24"/>
          <w:lang w:val="en-US"/>
        </w:rPr>
        <w:t>Uber land</w:t>
      </w:r>
      <w:r w:rsidRPr="004E5A48">
        <w:rPr>
          <w:rFonts w:ascii="Arial Nova Cond" w:hAnsi="Arial Nova Cond"/>
          <w:sz w:val="24"/>
          <w:lang w:val="en-US"/>
        </w:rPr>
        <w:t>: How algorithms are rewriting the rules of work. University of California Press.</w:t>
      </w:r>
    </w:p>
    <w:p w14:paraId="2ADF739D"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lastRenderedPageBreak/>
        <w:t>Snyder, H. (2019). Literature review as a research methodology: An overview and guidelines. Journal of Business Research, 104, 333–339. https://doi.org/10.1016/j.jbusres.2019.07.039</w:t>
      </w:r>
    </w:p>
    <w:p w14:paraId="5963113F"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Srnicek, N. (2017). Platform capitalism. Polity Press.</w:t>
      </w:r>
    </w:p>
    <w:p w14:paraId="4899751A"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Suri, T., &amp; Jack, W. (2016). The long-run poverty and gender impacts of mobile money. Science, 354(6317), 1288–1292. https://doi.org/10.1126/science.aah5309</w:t>
      </w:r>
    </w:p>
    <w:p w14:paraId="422E50C5"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United Nations Conference on Trade and Development. (2021). Digital economy report 2021: Cross-border data flows and development—For whom the data flow. United Nations.</w:t>
      </w:r>
    </w:p>
    <w:p w14:paraId="05DD65BE"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United Nations. (2022). United Nations e-government survey 2022: The future of digital government. United Nations Department of Economic and Social Affairs.</w:t>
      </w:r>
    </w:p>
    <w:p w14:paraId="1994EB24"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Williams, C. C. (2014). Out of the shadows: A classification of economies by the size and character of their informal sector. Work, Employment and Society, 28(5), 735–753. https://doi.org/10.1177/0950017013501951</w:t>
      </w:r>
    </w:p>
    <w:p w14:paraId="010D71A4"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Williams, C. C. (2023). Formalization of the informal economy: An e-government approach. Springer Nature Switzerland. https://doi.org/10.1007/978-3-031-37928-4</w:t>
      </w:r>
    </w:p>
    <w:p w14:paraId="7BCD3E79"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Wood, A. J., Graham, M., Lehdonvirta, V., &amp; Hjorth, I. (2019). Good gig, bad gig: Autonomy and algorithmic control in the global gig economy. Work, Employment and Society, 33(1), 56–75. https://doi.org/10.1177/0950017018785616</w:t>
      </w:r>
    </w:p>
    <w:p w14:paraId="0BE29402"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World Bank. (2019). World Development Report 2019: The Changing Nature of Work. World Bank.</w:t>
      </w:r>
    </w:p>
    <w:p w14:paraId="0E54CCE6" w14:textId="77777777" w:rsidR="00116328" w:rsidRPr="004E5A48" w:rsidRDefault="00000000" w:rsidP="00801630">
      <w:pPr>
        <w:spacing w:after="60"/>
        <w:ind w:left="360" w:hanging="360"/>
        <w:jc w:val="both"/>
        <w:rPr>
          <w:rFonts w:ascii="Arial Nova Cond" w:hAnsi="Arial Nova Cond"/>
          <w:sz w:val="24"/>
          <w:lang w:val="en-US"/>
        </w:rPr>
      </w:pPr>
      <w:r w:rsidRPr="004E5A48">
        <w:rPr>
          <w:rFonts w:ascii="Arial Nova Cond" w:hAnsi="Arial Nova Cond"/>
          <w:sz w:val="24"/>
          <w:lang w:val="en-US"/>
        </w:rPr>
        <w:t>World Bank. (2021). Identification for Development (ID4D) annual report 2021. World Bank.</w:t>
      </w:r>
    </w:p>
    <w:p w14:paraId="6645418F" w14:textId="77777777" w:rsidR="00116328" w:rsidRPr="00AE1E9E" w:rsidRDefault="00000000" w:rsidP="00801630">
      <w:pPr>
        <w:spacing w:after="60"/>
        <w:ind w:left="360" w:hanging="360"/>
        <w:jc w:val="both"/>
        <w:rPr>
          <w:rFonts w:ascii="Arial Nova Cond" w:hAnsi="Arial Nova Cond"/>
          <w:sz w:val="24"/>
        </w:rPr>
      </w:pPr>
      <w:r w:rsidRPr="004E5A48">
        <w:rPr>
          <w:rFonts w:ascii="Arial Nova Cond" w:hAnsi="Arial Nova Cond"/>
          <w:sz w:val="24"/>
          <w:lang w:val="en-US"/>
        </w:rPr>
        <w:t xml:space="preserve">Zuboff, S. (2019). The age of surveillance capitalism: The fight for a human future at the new frontier of power. </w:t>
      </w:r>
      <w:r w:rsidRPr="004E5A48">
        <w:rPr>
          <w:rFonts w:ascii="Arial Nova Cond" w:hAnsi="Arial Nova Cond"/>
          <w:sz w:val="24"/>
        </w:rPr>
        <w:t>PublicAffairs.</w:t>
      </w:r>
    </w:p>
    <w:sectPr w:rsidR="00116328" w:rsidRPr="00AE1E9E" w:rsidSect="002F1DFA">
      <w:headerReference w:type="even" r:id="rId12"/>
      <w:headerReference w:type="default" r:id="rId13"/>
      <w:footerReference w:type="even" r:id="rId14"/>
      <w:footerReference w:type="default" r:id="rId15"/>
      <w:headerReference w:type="first" r:id="rId16"/>
      <w:footerReference w:type="first" r:id="rId17"/>
      <w:pgSz w:w="12240" w:h="15840"/>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E8ADF" w14:textId="77777777" w:rsidR="003140FA" w:rsidRDefault="003140FA">
      <w:pPr>
        <w:spacing w:after="0" w:line="240" w:lineRule="auto"/>
      </w:pPr>
      <w:r>
        <w:separator/>
      </w:r>
    </w:p>
  </w:endnote>
  <w:endnote w:type="continuationSeparator" w:id="0">
    <w:p w14:paraId="05C9920F" w14:textId="77777777" w:rsidR="003140FA" w:rsidRDefault="00314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ova Cond">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US"/>
      </w:rPr>
      <w:id w:val="1302420874"/>
      <w:docPartObj>
        <w:docPartGallery w:val="Page Numbers (Bottom of Page)"/>
        <w:docPartUnique/>
      </w:docPartObj>
    </w:sdtPr>
    <w:sdtContent>
      <w:p w14:paraId="117C72A3" w14:textId="77777777" w:rsidR="008A1592" w:rsidRPr="00087730" w:rsidRDefault="00000000" w:rsidP="00087730">
        <w:pPr>
          <w:pStyle w:val="Piedepgina"/>
          <w:spacing w:before="240" w:line="276" w:lineRule="auto"/>
          <w:jc w:val="center"/>
          <w:rPr>
            <w:sz w:val="20"/>
            <w:szCs w:val="20"/>
            <w:lang w:val="en-US"/>
          </w:rPr>
        </w:pPr>
        <w:r w:rsidRPr="00447D4C">
          <w:rPr>
            <w:noProof/>
            <w:sz w:val="20"/>
            <w:szCs w:val="20"/>
            <w:lang w:val="en-US"/>
          </w:rPr>
          <mc:AlternateContent>
            <mc:Choice Requires="wps">
              <w:drawing>
                <wp:anchor distT="0" distB="0" distL="114300" distR="114300" simplePos="0" relativeHeight="251660288" behindDoc="0" locked="0" layoutInCell="1" allowOverlap="1" wp14:anchorId="34A7A96D" wp14:editId="1F1B9B7B">
                  <wp:simplePos x="0" y="0"/>
                  <wp:positionH relativeFrom="page">
                    <wp:posOffset>362806</wp:posOffset>
                  </wp:positionH>
                  <wp:positionV relativeFrom="page">
                    <wp:posOffset>8777605</wp:posOffset>
                  </wp:positionV>
                  <wp:extent cx="1116000" cy="1115060"/>
                  <wp:effectExtent l="0" t="0" r="27305" b="27940"/>
                  <wp:wrapNone/>
                  <wp:docPr id="1562555434" name="Triángulo isóscele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16000" cy="1115060"/>
                          </a:xfrm>
                          <a:prstGeom prst="triangle">
                            <a:avLst>
                              <a:gd name="adj" fmla="val 100000"/>
                            </a:avLst>
                          </a:prstGeom>
                          <a:solidFill>
                            <a:srgbClr val="C852FF"/>
                          </a:solidFill>
                          <a:ln>
                            <a:solidFill>
                              <a:srgbClr val="C852FF"/>
                            </a:solidFill>
                          </a:ln>
                        </wps:spPr>
                        <wps:txbx>
                          <w:txbxContent>
                            <w:p w14:paraId="564C6E15" w14:textId="77777777" w:rsidR="00447D4C" w:rsidRDefault="00000000">
                              <w:pPr>
                                <w:jc w:val="center"/>
                                <w:rPr>
                                  <w:szCs w:val="72"/>
                                </w:rPr>
                              </w:pPr>
                              <w:r>
                                <w:rPr>
                                  <w:rFonts w:cs="Times New Roman"/>
                                  <w:sz w:val="22"/>
                                  <w:szCs w:val="22"/>
                                </w:rPr>
                                <w:fldChar w:fldCharType="begin"/>
                              </w:r>
                              <w:r>
                                <w:instrText>PAGE    \* MERGEFORMAT</w:instrText>
                              </w:r>
                              <w:r>
                                <w:rPr>
                                  <w:rFonts w:cs="Times New Roman"/>
                                  <w:sz w:val="22"/>
                                  <w:szCs w:val="22"/>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34A7A96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3" o:spid="_x0000_s1026" type="#_x0000_t5" style="position:absolute;left:0;text-align:left;margin-left:28.55pt;margin-top:691.15pt;width:87.85pt;height:87.8pt;flip:x;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h+AQIAAAsEAAAOAAAAZHJzL2Uyb0RvYy54bWysU1GP0zAMfkfiP0R5Z22nbRzVuhPaaYB0&#10;cEgHPyBN0zaQxsHJ1o5fj5ON3YC3Ey+RHef7bH921rfTYNhBoddgK17Mcs6UldBo21X865fdqxvO&#10;fBC2EQasqvhReX67efliPbpSzaEH0yhkRGJ9ObqK9yG4Msu87NUg/AycshRsAQcRyMUua1CMxD6Y&#10;bJ7nq2wEbByCVN7T7d0pyDeJv22VDA9t61VgpuJUW0gnprOOZ7ZZi7JD4Xotz2WIZ1QxCG0p6YXq&#10;TgTB9qj/oRq0RPDQhpmEIYO21VKlHqibIv+rm8deOJV6IXG8u8jk/x+t/HR4dJ8xlu7dPcjvnlnY&#10;9sJ26i0ijL0SDaUrolDZ6Hx5AUTHE5TV40doaLRiHyBpMLU4sNZo9z4CIzX1yaYk+vEiupoCk3RZ&#10;FMUqz2k2kmLkLPNVGksmykgU4Q59eKdgYNGoeEBN9ZmojCjF4d6HaHQNs2KIdTTfOGsHQ3M8CMMK&#10;Iif6WP/lNVm/OSPUg9HNThuTHOzqrUFG2Ipvb5bz3e4M/uOZsc9DUuoITVpG+eKm+jJM9UQVRrOG&#10;5kiqIpx2lf4WGT3gT85G2tOK+x97gYoz88HSZN4Ui0Vc7OQslq/n5OB1pL6OCCuJiiTk7GRuw+kz&#10;7B3qrqdMT5OmjUuanX9HXOlrP/Xw9Ic3vwAAAP//AwBQSwMEFAAGAAgAAAAhAL8TFs3gAAAADAEA&#10;AA8AAABkcnMvZG93bnJldi54bWxMjz1PwzAQhnck/oN1SCyIOnEU2oY4FUIwMFW0LGzX2E0i4nOI&#10;3Sbw6zkmGO+9R+9HuZldL852DJ0nDekiAWGp9qajRsPb/vl2BSJEJIO9J6vhywbYVJcXJRbGT/Rq&#10;z7vYCDahUKCGNsahkDLUrXUYFn6wxL+jHx1GPsdGmhEnNne9VElyJx12xAktDvaxtfXH7uQ0TEPT&#10;f6rtzYvM1dN7R98yxf1W6+ur+eEeRLRz/IPhtz5Xh4o7HfyJTBC9hnyZMsl6tlIZCCZUpnjMgaU8&#10;X65BVqX8P6L6AQAA//8DAFBLAQItABQABgAIAAAAIQC2gziS/gAAAOEBAAATAAAAAAAAAAAAAAAA&#10;AAAAAABbQ29udGVudF9UeXBlc10ueG1sUEsBAi0AFAAGAAgAAAAhADj9If/WAAAAlAEAAAsAAAAA&#10;AAAAAAAAAAAALwEAAF9yZWxzLy5yZWxzUEsBAi0AFAAGAAgAAAAhADpdqH4BAgAACwQAAA4AAAAA&#10;AAAAAAAAAAAALgIAAGRycy9lMm9Eb2MueG1sUEsBAi0AFAAGAAgAAAAhAL8TFs3gAAAADAEAAA8A&#10;AAAAAAAAAAAAAAAAWwQAAGRycy9kb3ducmV2LnhtbFBLBQYAAAAABAAEAPMAAABoBQAAAAA=&#10;" adj="21600" fillcolor="#c852ff" strokecolor="#c852ff">
                  <v:textbox>
                    <w:txbxContent>
                      <w:p w14:paraId="564C6E15" w14:textId="77777777" w:rsidR="00447D4C" w:rsidRDefault="00000000">
                        <w:pPr>
                          <w:jc w:val="center"/>
                          <w:rPr>
                            <w:szCs w:val="72"/>
                          </w:rPr>
                        </w:pPr>
                        <w:r>
                          <w:rPr>
                            <w:rFonts w:cs="Times New Roman"/>
                            <w:sz w:val="22"/>
                            <w:szCs w:val="22"/>
                          </w:rPr>
                          <w:fldChar w:fldCharType="begin"/>
                        </w:r>
                        <w:r>
                          <w:instrText>PAGE    \* MERGEFORMAT</w:instrText>
                        </w:r>
                        <w:r>
                          <w:rPr>
                            <w:rFonts w:cs="Times New Roman"/>
                            <w:sz w:val="22"/>
                            <w:szCs w:val="22"/>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r w:rsidRPr="00447D4C">
          <w:rPr>
            <w:rFonts w:ascii="Arial Narrow" w:hAnsi="Arial Narrow"/>
            <w:b/>
            <w:bCs/>
            <w:color w:val="12358E"/>
            <w:sz w:val="20"/>
            <w:szCs w:val="20"/>
            <w:lang w:val="en-US"/>
          </w:rPr>
          <w:t>Informality: The State of the Art. N. 2</w:t>
        </w:r>
      </w:p>
      <w:p w14:paraId="6E46982D" w14:textId="77777777" w:rsidR="00E5703C" w:rsidRDefault="00E5703C" w:rsidP="00746781">
        <w:pPr>
          <w:pStyle w:val="Piedepgina"/>
          <w:jc w:val="center"/>
          <w:rPr>
            <w:rFonts w:ascii="Arial Narrow" w:hAnsi="Arial Narrow"/>
            <w:b/>
            <w:bCs/>
            <w:color w:val="12358E"/>
            <w:sz w:val="20"/>
            <w:szCs w:val="20"/>
            <w:lang w:val="en-US"/>
          </w:rPr>
        </w:pPr>
      </w:p>
      <w:p w14:paraId="2548E2B2" w14:textId="77777777" w:rsidR="00447D4C" w:rsidRPr="00746781" w:rsidRDefault="00000000" w:rsidP="00087730">
        <w:pPr>
          <w:pStyle w:val="Piedepgina"/>
          <w:rPr>
            <w:rFonts w:ascii="Arial Narrow" w:hAnsi="Arial Narrow"/>
            <w:b/>
            <w:bCs/>
            <w:color w:val="12358E"/>
            <w:sz w:val="20"/>
            <w:szCs w:val="20"/>
            <w:lang w:val="en-US"/>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2358C"/>
      </w:rPr>
      <w:id w:val="669292812"/>
      <w:docPartObj>
        <w:docPartGallery w:val="Page Numbers (Bottom of Page)"/>
        <w:docPartUnique/>
      </w:docPartObj>
    </w:sdtPr>
    <w:sdtEndPr>
      <w:rPr>
        <w:color w:val="auto"/>
      </w:rPr>
    </w:sdtEndPr>
    <w:sdtContent>
      <w:p w14:paraId="07795D4D" w14:textId="77777777" w:rsidR="00FC18A0" w:rsidRPr="00E5703C" w:rsidRDefault="00000000" w:rsidP="002F1DFA">
        <w:pPr>
          <w:spacing w:before="240" w:after="0" w:line="360" w:lineRule="auto"/>
          <w:jc w:val="center"/>
          <w:rPr>
            <w:rFonts w:ascii="Arial Narrow" w:hAnsi="Arial Narrow"/>
            <w:b/>
            <w:bCs/>
            <w:color w:val="12358C"/>
            <w:sz w:val="20"/>
            <w:szCs w:val="20"/>
            <w:lang w:val="en-US"/>
          </w:rPr>
        </w:pPr>
        <w:r w:rsidRPr="008A1592">
          <w:rPr>
            <w:noProof/>
            <w:color w:val="12358C"/>
          </w:rPr>
          <mc:AlternateContent>
            <mc:Choice Requires="wps">
              <w:drawing>
                <wp:anchor distT="0" distB="0" distL="114300" distR="114300" simplePos="0" relativeHeight="251658240" behindDoc="0" locked="0" layoutInCell="1" allowOverlap="1" wp14:anchorId="01289235" wp14:editId="0C7DAA8A">
                  <wp:simplePos x="0" y="0"/>
                  <wp:positionH relativeFrom="page">
                    <wp:posOffset>6230399</wp:posOffset>
                  </wp:positionH>
                  <wp:positionV relativeFrom="page">
                    <wp:posOffset>8766175</wp:posOffset>
                  </wp:positionV>
                  <wp:extent cx="1116000" cy="1116000"/>
                  <wp:effectExtent l="0" t="0" r="27305" b="27305"/>
                  <wp:wrapNone/>
                  <wp:docPr id="1050283990" name="Triángulo isóscel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000" cy="1116000"/>
                          </a:xfrm>
                          <a:prstGeom prst="triangle">
                            <a:avLst>
                              <a:gd name="adj" fmla="val 100000"/>
                            </a:avLst>
                          </a:prstGeom>
                          <a:solidFill>
                            <a:srgbClr val="C852FF"/>
                          </a:solidFill>
                          <a:ln>
                            <a:solidFill>
                              <a:srgbClr val="C852FF"/>
                            </a:solidFill>
                          </a:ln>
                        </wps:spPr>
                        <wps:txbx>
                          <w:txbxContent>
                            <w:p w14:paraId="1328B570" w14:textId="77777777" w:rsidR="004B67F1" w:rsidRPr="00F30BE6" w:rsidRDefault="00000000">
                              <w:pPr>
                                <w:jc w:val="center"/>
                                <w:rPr>
                                  <w:color w:val="FFFFFF" w:themeColor="background1"/>
                                  <w:szCs w:val="72"/>
                                </w:rPr>
                              </w:pPr>
                              <w:r w:rsidRPr="00F30BE6">
                                <w:rPr>
                                  <w:rFonts w:cs="Times New Roman"/>
                                  <w:color w:val="FFFFFF" w:themeColor="background1"/>
                                  <w:sz w:val="22"/>
                                  <w:szCs w:val="22"/>
                                </w:rPr>
                                <w:fldChar w:fldCharType="begin"/>
                              </w:r>
                              <w:r w:rsidRPr="00F30BE6">
                                <w:rPr>
                                  <w:color w:val="FFFFFF" w:themeColor="background1"/>
                                </w:rPr>
                                <w:instrText>PAGE    \* MERGEFORMAT</w:instrText>
                              </w:r>
                              <w:r w:rsidRPr="00F30BE6">
                                <w:rPr>
                                  <w:rFonts w:cs="Times New Roman"/>
                                  <w:color w:val="FFFFFF" w:themeColor="background1"/>
                                  <w:sz w:val="22"/>
                                  <w:szCs w:val="22"/>
                                </w:rPr>
                                <w:fldChar w:fldCharType="separate"/>
                              </w:r>
                              <w:r w:rsidRPr="00F30BE6">
                                <w:rPr>
                                  <w:rFonts w:asciiTheme="majorHAnsi" w:eastAsiaTheme="majorEastAsia" w:hAnsiTheme="majorHAnsi" w:cstheme="majorBidi"/>
                                  <w:color w:val="FFFFFF" w:themeColor="background1"/>
                                  <w:sz w:val="72"/>
                                  <w:szCs w:val="72"/>
                                </w:rPr>
                                <w:t>2</w:t>
                              </w:r>
                              <w:r w:rsidRPr="00F30BE6">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0128923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1" o:spid="_x0000_s1027" type="#_x0000_t5" style="position:absolute;left:0;text-align:left;margin-left:490.6pt;margin-top:690.25pt;width:87.85pt;height:87.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INY+gEAAAgEAAAOAAAAZHJzL2Uyb0RvYy54bWysU9tu2zAMfR+wfxD0vtgO0q4z4hRDigwD&#10;ugvQ7QMUSba1yaJGKbGzrx+lXBpsb8VeBFHUOSQPyeX9NFi21xgMuIZXs5Iz7SQo47qGf/+2eXPH&#10;WYjCKWHB6YYfdOD3q9evlqOv9Rx6sEojIxIX6tE3vI/R10URZK8HEWbgtSNnCziISCZ2hUIxEvtg&#10;i3lZ3hYjoPIIUodArw9HJ19l/rbVMn5p26Ajsw2n3GI+MZ/bdBarpag7FL438pSGeEEWgzCOgl6o&#10;HkQUbIfmH6rBSIQAbZxJGApoWyN1roGqqcq/qnnqhde5FhIn+ItM4f/Rys/7J/8VU+rBP4L8GZiD&#10;dS9cp98jwthroShclYQqRh/qCyAZgaBsO34CRa0VuwhZg6nFIRFSdWzKUh8uUuspMkmPVVXdliV1&#10;RJLvbKQYoj7DPYb4QcPA0qXhEQ1lZZMeohb7xxCz3oo5MaTo6gdn7WCpe3thWUXkRH9kPP0m7jNn&#10;rhesURtjbTaw264tMsI2fH13M99sTuBw/c26lyEpdIJmBZNoaT5DHaftxIw6yZtetqAOJCnCcVBp&#10;sejSA/7mbKQhbXj4tROoObMfHbXlXbVYpKnOxuLm7ZwMvPZsrz3CSaIiJTk7XtfxuAk7j6brKdJz&#10;m2nccjNOq5Hm+drOpTwv8OoPAAAA//8DAFBLAwQUAAYACAAAACEAVL62yeMAAAAOAQAADwAAAGRy&#10;cy9kb3ducmV2LnhtbEyPwUrDQBCG74LvsIzgzW6SkiVJsylWKCiKYA3icZqdJtHsbshu2/j2bk96&#10;m+H/+Oebcj3rgZ1ocr01EuJFBIxMY1VvWgn1+/YuA+Y8GoWDNSThhxysq+urEgtlz+aNTjvfslBi&#10;XIESOu/HgnPXdKTRLexIJmQHO2n0YZ1ariY8h3I98CSKBNfYm3Chw5EeOmq+d0ctQWyftc03X49L&#10;ci/15ukT649XIeXtzXy/AuZp9n8wXPSDOlTBaW+PRjk2SMizOAloCJZZlAK7IHEqcmD7MKWpSIBX&#10;Jf//RvULAAD//wMAUEsBAi0AFAAGAAgAAAAhALaDOJL+AAAA4QEAABMAAAAAAAAAAAAAAAAAAAAA&#10;AFtDb250ZW50X1R5cGVzXS54bWxQSwECLQAUAAYACAAAACEAOP0h/9YAAACUAQAACwAAAAAAAAAA&#10;AAAAAAAvAQAAX3JlbHMvLnJlbHNQSwECLQAUAAYACAAAACEAoxyDWPoBAAAIBAAADgAAAAAAAAAA&#10;AAAAAAAuAgAAZHJzL2Uyb0RvYy54bWxQSwECLQAUAAYACAAAACEAVL62yeMAAAAOAQAADwAAAAAA&#10;AAAAAAAAAABUBAAAZHJzL2Rvd25yZXYueG1sUEsFBgAAAAAEAAQA8wAAAGQFAAAAAA==&#10;" adj="21600" fillcolor="#c852ff" strokecolor="#c852ff">
                  <v:textbox>
                    <w:txbxContent>
                      <w:p w14:paraId="1328B570" w14:textId="77777777" w:rsidR="004B67F1" w:rsidRPr="00F30BE6" w:rsidRDefault="00000000">
                        <w:pPr>
                          <w:jc w:val="center"/>
                          <w:rPr>
                            <w:color w:val="FFFFFF" w:themeColor="background1"/>
                            <w:szCs w:val="72"/>
                          </w:rPr>
                        </w:pPr>
                        <w:r w:rsidRPr="00F30BE6">
                          <w:rPr>
                            <w:rFonts w:cs="Times New Roman"/>
                            <w:color w:val="FFFFFF" w:themeColor="background1"/>
                            <w:sz w:val="22"/>
                            <w:szCs w:val="22"/>
                          </w:rPr>
                          <w:fldChar w:fldCharType="begin"/>
                        </w:r>
                        <w:r w:rsidRPr="00F30BE6">
                          <w:rPr>
                            <w:color w:val="FFFFFF" w:themeColor="background1"/>
                          </w:rPr>
                          <w:instrText>PAGE    \* MERGEFORMAT</w:instrText>
                        </w:r>
                        <w:r w:rsidRPr="00F30BE6">
                          <w:rPr>
                            <w:rFonts w:cs="Times New Roman"/>
                            <w:color w:val="FFFFFF" w:themeColor="background1"/>
                            <w:sz w:val="22"/>
                            <w:szCs w:val="22"/>
                          </w:rPr>
                          <w:fldChar w:fldCharType="separate"/>
                        </w:r>
                        <w:r w:rsidRPr="00F30BE6">
                          <w:rPr>
                            <w:rFonts w:asciiTheme="majorHAnsi" w:eastAsiaTheme="majorEastAsia" w:hAnsiTheme="majorHAnsi" w:cstheme="majorBidi"/>
                            <w:color w:val="FFFFFF" w:themeColor="background1"/>
                            <w:sz w:val="72"/>
                            <w:szCs w:val="72"/>
                          </w:rPr>
                          <w:t>2</w:t>
                        </w:r>
                        <w:r w:rsidRPr="00F30BE6">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r w:rsidR="00447D4C" w:rsidRPr="008A1592">
          <w:rPr>
            <w:rFonts w:ascii="Arial Narrow" w:hAnsi="Arial Narrow"/>
            <w:b/>
            <w:bCs/>
            <w:color w:val="12358C"/>
            <w:sz w:val="20"/>
            <w:szCs w:val="20"/>
            <w:lang w:val="en-US"/>
          </w:rPr>
          <w:t>Digitalization and Hybrid Informality: A State-of-the-Art Review of Transformation, Measurement and Governance in the Digital Economy</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009D79B0" w14:paraId="616404AF" w14:textId="77777777" w:rsidTr="18922D16">
      <w:trPr>
        <w:trHeight w:val="300"/>
      </w:trPr>
      <w:tc>
        <w:tcPr>
          <w:tcW w:w="2880" w:type="dxa"/>
        </w:tcPr>
        <w:p w14:paraId="620011D6" w14:textId="77777777" w:rsidR="18922D16" w:rsidRDefault="18922D16" w:rsidP="18922D16">
          <w:pPr>
            <w:pStyle w:val="Encabezado"/>
            <w:ind w:left="-115"/>
          </w:pPr>
        </w:p>
      </w:tc>
      <w:tc>
        <w:tcPr>
          <w:tcW w:w="2880" w:type="dxa"/>
        </w:tcPr>
        <w:p w14:paraId="37B92D43" w14:textId="77777777" w:rsidR="18922D16" w:rsidRDefault="18922D16" w:rsidP="18922D16">
          <w:pPr>
            <w:pStyle w:val="Encabezado"/>
            <w:jc w:val="center"/>
          </w:pPr>
        </w:p>
      </w:tc>
      <w:tc>
        <w:tcPr>
          <w:tcW w:w="2880" w:type="dxa"/>
        </w:tcPr>
        <w:p w14:paraId="560A3A1B" w14:textId="77777777" w:rsidR="18922D16" w:rsidRDefault="18922D16" w:rsidP="18922D16">
          <w:pPr>
            <w:pStyle w:val="Encabezado"/>
            <w:ind w:right="-115"/>
            <w:jc w:val="right"/>
          </w:pPr>
        </w:p>
      </w:tc>
    </w:tr>
  </w:tbl>
  <w:p w14:paraId="55149679" w14:textId="77777777" w:rsidR="18922D16" w:rsidRDefault="18922D16" w:rsidP="18922D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3CAD7" w14:textId="77777777" w:rsidR="003140FA" w:rsidRDefault="003140FA">
      <w:pPr>
        <w:spacing w:after="0" w:line="240" w:lineRule="auto"/>
      </w:pPr>
      <w:r>
        <w:separator/>
      </w:r>
    </w:p>
  </w:footnote>
  <w:footnote w:type="continuationSeparator" w:id="0">
    <w:p w14:paraId="20B8592C" w14:textId="77777777" w:rsidR="003140FA" w:rsidRDefault="00314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009D79B0" w14:paraId="181220C4" w14:textId="77777777" w:rsidTr="18922D16">
      <w:trPr>
        <w:trHeight w:val="300"/>
      </w:trPr>
      <w:tc>
        <w:tcPr>
          <w:tcW w:w="2880" w:type="dxa"/>
        </w:tcPr>
        <w:p w14:paraId="15D362B2" w14:textId="77777777" w:rsidR="18922D16" w:rsidRDefault="18922D16" w:rsidP="18922D16">
          <w:pPr>
            <w:pStyle w:val="Encabezado"/>
            <w:ind w:left="-115"/>
          </w:pPr>
        </w:p>
      </w:tc>
      <w:tc>
        <w:tcPr>
          <w:tcW w:w="2880" w:type="dxa"/>
        </w:tcPr>
        <w:p w14:paraId="697DF38B" w14:textId="77777777" w:rsidR="18922D16" w:rsidRDefault="18922D16" w:rsidP="18922D16">
          <w:pPr>
            <w:pStyle w:val="Encabezado"/>
            <w:jc w:val="center"/>
          </w:pPr>
        </w:p>
      </w:tc>
      <w:tc>
        <w:tcPr>
          <w:tcW w:w="2880" w:type="dxa"/>
        </w:tcPr>
        <w:p w14:paraId="1FF51422" w14:textId="77777777" w:rsidR="18922D16" w:rsidRDefault="18922D16" w:rsidP="18922D16">
          <w:pPr>
            <w:pStyle w:val="Encabezado"/>
            <w:ind w:right="-115"/>
            <w:jc w:val="right"/>
          </w:pPr>
        </w:p>
      </w:tc>
    </w:tr>
  </w:tbl>
  <w:p w14:paraId="0A7FAC77" w14:textId="77777777" w:rsidR="18922D16" w:rsidRDefault="18922D16" w:rsidP="18922D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009D79B0" w14:paraId="03E876DC" w14:textId="77777777" w:rsidTr="18922D16">
      <w:trPr>
        <w:trHeight w:val="300"/>
      </w:trPr>
      <w:tc>
        <w:tcPr>
          <w:tcW w:w="2880" w:type="dxa"/>
        </w:tcPr>
        <w:p w14:paraId="4FFFF891" w14:textId="77777777" w:rsidR="18922D16" w:rsidRDefault="18922D16" w:rsidP="18922D16">
          <w:pPr>
            <w:pStyle w:val="Encabezado"/>
            <w:ind w:left="-115"/>
          </w:pPr>
        </w:p>
      </w:tc>
      <w:tc>
        <w:tcPr>
          <w:tcW w:w="2880" w:type="dxa"/>
        </w:tcPr>
        <w:p w14:paraId="29EFA82C" w14:textId="77777777" w:rsidR="18922D16" w:rsidRDefault="18922D16" w:rsidP="18922D16">
          <w:pPr>
            <w:pStyle w:val="Encabezado"/>
            <w:jc w:val="center"/>
          </w:pPr>
        </w:p>
      </w:tc>
      <w:tc>
        <w:tcPr>
          <w:tcW w:w="2880" w:type="dxa"/>
        </w:tcPr>
        <w:p w14:paraId="6A135D20" w14:textId="77777777" w:rsidR="18922D16" w:rsidRDefault="18922D16" w:rsidP="18922D16">
          <w:pPr>
            <w:pStyle w:val="Encabezado"/>
            <w:ind w:right="-115"/>
            <w:jc w:val="right"/>
          </w:pPr>
        </w:p>
      </w:tc>
    </w:tr>
  </w:tbl>
  <w:p w14:paraId="08248E6C" w14:textId="77777777" w:rsidR="18922D16" w:rsidRDefault="18922D16" w:rsidP="18922D1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009D79B0" w14:paraId="18B31866" w14:textId="77777777" w:rsidTr="18922D16">
      <w:trPr>
        <w:trHeight w:val="300"/>
      </w:trPr>
      <w:tc>
        <w:tcPr>
          <w:tcW w:w="2880" w:type="dxa"/>
        </w:tcPr>
        <w:p w14:paraId="6657C22C" w14:textId="77777777" w:rsidR="18922D16" w:rsidRDefault="18922D16" w:rsidP="18922D16">
          <w:pPr>
            <w:pStyle w:val="Encabezado"/>
            <w:ind w:left="-115"/>
          </w:pPr>
        </w:p>
      </w:tc>
      <w:tc>
        <w:tcPr>
          <w:tcW w:w="2880" w:type="dxa"/>
        </w:tcPr>
        <w:p w14:paraId="4FC101DA" w14:textId="77777777" w:rsidR="18922D16" w:rsidRDefault="18922D16" w:rsidP="18922D16">
          <w:pPr>
            <w:pStyle w:val="Encabezado"/>
            <w:jc w:val="center"/>
          </w:pPr>
        </w:p>
      </w:tc>
      <w:tc>
        <w:tcPr>
          <w:tcW w:w="2880" w:type="dxa"/>
        </w:tcPr>
        <w:p w14:paraId="3A70E94E" w14:textId="77777777" w:rsidR="18922D16" w:rsidRDefault="18922D16" w:rsidP="18922D16">
          <w:pPr>
            <w:pStyle w:val="Encabezado"/>
            <w:ind w:right="-115"/>
            <w:jc w:val="right"/>
          </w:pPr>
        </w:p>
      </w:tc>
    </w:tr>
  </w:tbl>
  <w:p w14:paraId="29BBCA56" w14:textId="77777777" w:rsidR="18922D16" w:rsidRDefault="18922D16" w:rsidP="18922D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43F0E32"/>
    <w:multiLevelType w:val="multilevel"/>
    <w:tmpl w:val="67FA529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6DB2159"/>
    <w:multiLevelType w:val="multilevel"/>
    <w:tmpl w:val="0A141A9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07335C71"/>
    <w:multiLevelType w:val="multilevel"/>
    <w:tmpl w:val="40D2303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 w15:restartNumberingAfterBreak="0">
    <w:nsid w:val="10C059CC"/>
    <w:multiLevelType w:val="hybridMultilevel"/>
    <w:tmpl w:val="80803134"/>
    <w:lvl w:ilvl="0" w:tplc="D21E6330">
      <w:start w:val="1"/>
      <w:numFmt w:val="bullet"/>
      <w:lvlText w:val=""/>
      <w:lvlJc w:val="left"/>
      <w:pPr>
        <w:ind w:left="1068" w:hanging="360"/>
      </w:pPr>
      <w:rPr>
        <w:rFonts w:ascii="Symbol" w:hAnsi="Symbol" w:hint="default"/>
      </w:rPr>
    </w:lvl>
    <w:lvl w:ilvl="1" w:tplc="B5EEECF8" w:tentative="1">
      <w:start w:val="1"/>
      <w:numFmt w:val="bullet"/>
      <w:lvlText w:val="o"/>
      <w:lvlJc w:val="left"/>
      <w:pPr>
        <w:ind w:left="1788" w:hanging="360"/>
      </w:pPr>
      <w:rPr>
        <w:rFonts w:ascii="Courier New" w:hAnsi="Courier New" w:cs="Courier New" w:hint="default"/>
      </w:rPr>
    </w:lvl>
    <w:lvl w:ilvl="2" w:tplc="6D5A83D4" w:tentative="1">
      <w:start w:val="1"/>
      <w:numFmt w:val="bullet"/>
      <w:lvlText w:val=""/>
      <w:lvlJc w:val="left"/>
      <w:pPr>
        <w:ind w:left="2508" w:hanging="360"/>
      </w:pPr>
      <w:rPr>
        <w:rFonts w:ascii="Wingdings" w:hAnsi="Wingdings" w:hint="default"/>
      </w:rPr>
    </w:lvl>
    <w:lvl w:ilvl="3" w:tplc="BF3A8472" w:tentative="1">
      <w:start w:val="1"/>
      <w:numFmt w:val="bullet"/>
      <w:lvlText w:val=""/>
      <w:lvlJc w:val="left"/>
      <w:pPr>
        <w:ind w:left="3228" w:hanging="360"/>
      </w:pPr>
      <w:rPr>
        <w:rFonts w:ascii="Symbol" w:hAnsi="Symbol" w:hint="default"/>
      </w:rPr>
    </w:lvl>
    <w:lvl w:ilvl="4" w:tplc="8E864B24" w:tentative="1">
      <w:start w:val="1"/>
      <w:numFmt w:val="bullet"/>
      <w:lvlText w:val="o"/>
      <w:lvlJc w:val="left"/>
      <w:pPr>
        <w:ind w:left="3948" w:hanging="360"/>
      </w:pPr>
      <w:rPr>
        <w:rFonts w:ascii="Courier New" w:hAnsi="Courier New" w:cs="Courier New" w:hint="default"/>
      </w:rPr>
    </w:lvl>
    <w:lvl w:ilvl="5" w:tplc="0890CEBC" w:tentative="1">
      <w:start w:val="1"/>
      <w:numFmt w:val="bullet"/>
      <w:lvlText w:val=""/>
      <w:lvlJc w:val="left"/>
      <w:pPr>
        <w:ind w:left="4668" w:hanging="360"/>
      </w:pPr>
      <w:rPr>
        <w:rFonts w:ascii="Wingdings" w:hAnsi="Wingdings" w:hint="default"/>
      </w:rPr>
    </w:lvl>
    <w:lvl w:ilvl="6" w:tplc="7AE04A24" w:tentative="1">
      <w:start w:val="1"/>
      <w:numFmt w:val="bullet"/>
      <w:lvlText w:val=""/>
      <w:lvlJc w:val="left"/>
      <w:pPr>
        <w:ind w:left="5388" w:hanging="360"/>
      </w:pPr>
      <w:rPr>
        <w:rFonts w:ascii="Symbol" w:hAnsi="Symbol" w:hint="default"/>
      </w:rPr>
    </w:lvl>
    <w:lvl w:ilvl="7" w:tplc="C224555E" w:tentative="1">
      <w:start w:val="1"/>
      <w:numFmt w:val="bullet"/>
      <w:lvlText w:val="o"/>
      <w:lvlJc w:val="left"/>
      <w:pPr>
        <w:ind w:left="6108" w:hanging="360"/>
      </w:pPr>
      <w:rPr>
        <w:rFonts w:ascii="Courier New" w:hAnsi="Courier New" w:cs="Courier New" w:hint="default"/>
      </w:rPr>
    </w:lvl>
    <w:lvl w:ilvl="8" w:tplc="4E7C6168" w:tentative="1">
      <w:start w:val="1"/>
      <w:numFmt w:val="bullet"/>
      <w:lvlText w:val=""/>
      <w:lvlJc w:val="left"/>
      <w:pPr>
        <w:ind w:left="6828" w:hanging="360"/>
      </w:pPr>
      <w:rPr>
        <w:rFonts w:ascii="Wingdings" w:hAnsi="Wingdings" w:hint="default"/>
      </w:rPr>
    </w:lvl>
  </w:abstractNum>
  <w:abstractNum w:abstractNumId="4" w15:restartNumberingAfterBreak="0">
    <w:nsid w:val="16200344"/>
    <w:multiLevelType w:val="multilevel"/>
    <w:tmpl w:val="EDF803E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15:restartNumberingAfterBreak="0">
    <w:nsid w:val="17333490"/>
    <w:multiLevelType w:val="multilevel"/>
    <w:tmpl w:val="8692FF8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178A4B26"/>
    <w:multiLevelType w:val="multilevel"/>
    <w:tmpl w:val="6A3C1BC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1D3B05D9"/>
    <w:multiLevelType w:val="multilevel"/>
    <w:tmpl w:val="E6F6226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8" w15:restartNumberingAfterBreak="0">
    <w:nsid w:val="22BF41F2"/>
    <w:multiLevelType w:val="multilevel"/>
    <w:tmpl w:val="552E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A80ACB"/>
    <w:multiLevelType w:val="multilevel"/>
    <w:tmpl w:val="A4BE797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23C91CE2"/>
    <w:multiLevelType w:val="multilevel"/>
    <w:tmpl w:val="A670C1E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 w15:restartNumberingAfterBreak="0">
    <w:nsid w:val="297A66FC"/>
    <w:multiLevelType w:val="multilevel"/>
    <w:tmpl w:val="28DCFE8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2" w15:restartNumberingAfterBreak="0">
    <w:nsid w:val="297A6F81"/>
    <w:multiLevelType w:val="multilevel"/>
    <w:tmpl w:val="FC4E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767401"/>
    <w:multiLevelType w:val="multilevel"/>
    <w:tmpl w:val="12FE1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677FA5"/>
    <w:multiLevelType w:val="multilevel"/>
    <w:tmpl w:val="78DC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52FDA"/>
    <w:multiLevelType w:val="multilevel"/>
    <w:tmpl w:val="F4AE3CC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2FE777B8"/>
    <w:multiLevelType w:val="multilevel"/>
    <w:tmpl w:val="379A5C0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35280234"/>
    <w:multiLevelType w:val="multilevel"/>
    <w:tmpl w:val="89F86C3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361B5E98"/>
    <w:multiLevelType w:val="multilevel"/>
    <w:tmpl w:val="88F6AF0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9" w15:restartNumberingAfterBreak="0">
    <w:nsid w:val="36C851C0"/>
    <w:multiLevelType w:val="multilevel"/>
    <w:tmpl w:val="0342661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0" w15:restartNumberingAfterBreak="0">
    <w:nsid w:val="394D731F"/>
    <w:multiLevelType w:val="multilevel"/>
    <w:tmpl w:val="7EBC5DC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1" w15:restartNumberingAfterBreak="0">
    <w:nsid w:val="3AA75D47"/>
    <w:multiLevelType w:val="multilevel"/>
    <w:tmpl w:val="90B01D6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2" w15:restartNumberingAfterBreak="0">
    <w:nsid w:val="3C0A0FA9"/>
    <w:multiLevelType w:val="multilevel"/>
    <w:tmpl w:val="E760D87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3" w15:restartNumberingAfterBreak="0">
    <w:nsid w:val="3C6F3190"/>
    <w:multiLevelType w:val="multilevel"/>
    <w:tmpl w:val="47E44BE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4" w15:restartNumberingAfterBreak="0">
    <w:nsid w:val="3D3D0F56"/>
    <w:multiLevelType w:val="multilevel"/>
    <w:tmpl w:val="1CD8159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5" w15:restartNumberingAfterBreak="0">
    <w:nsid w:val="3E8D60A3"/>
    <w:multiLevelType w:val="multilevel"/>
    <w:tmpl w:val="49F48C8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6" w15:restartNumberingAfterBreak="0">
    <w:nsid w:val="3F074220"/>
    <w:multiLevelType w:val="multilevel"/>
    <w:tmpl w:val="05D8918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7" w15:restartNumberingAfterBreak="0">
    <w:nsid w:val="422D0142"/>
    <w:multiLevelType w:val="multilevel"/>
    <w:tmpl w:val="F780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B52E8E"/>
    <w:multiLevelType w:val="multilevel"/>
    <w:tmpl w:val="8924BB2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9" w15:restartNumberingAfterBreak="0">
    <w:nsid w:val="43E55FD1"/>
    <w:multiLevelType w:val="multilevel"/>
    <w:tmpl w:val="1D0E180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0" w15:restartNumberingAfterBreak="0">
    <w:nsid w:val="48AE0330"/>
    <w:multiLevelType w:val="multilevel"/>
    <w:tmpl w:val="D7E063C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1" w15:restartNumberingAfterBreak="0">
    <w:nsid w:val="4D213176"/>
    <w:multiLevelType w:val="multilevel"/>
    <w:tmpl w:val="743CAD7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2" w15:restartNumberingAfterBreak="0">
    <w:nsid w:val="4F2866FF"/>
    <w:multiLevelType w:val="multilevel"/>
    <w:tmpl w:val="23C2168A"/>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3" w15:restartNumberingAfterBreak="0">
    <w:nsid w:val="4FAD5478"/>
    <w:multiLevelType w:val="multilevel"/>
    <w:tmpl w:val="959294B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4" w15:restartNumberingAfterBreak="0">
    <w:nsid w:val="4FF41BA3"/>
    <w:multiLevelType w:val="multilevel"/>
    <w:tmpl w:val="F52655D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5" w15:restartNumberingAfterBreak="0">
    <w:nsid w:val="50243514"/>
    <w:multiLevelType w:val="multilevel"/>
    <w:tmpl w:val="DEB666F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6" w15:restartNumberingAfterBreak="0">
    <w:nsid w:val="51BF4B3B"/>
    <w:multiLevelType w:val="multilevel"/>
    <w:tmpl w:val="B234040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7" w15:restartNumberingAfterBreak="0">
    <w:nsid w:val="53634B9A"/>
    <w:multiLevelType w:val="multilevel"/>
    <w:tmpl w:val="4D3A0C0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8" w15:restartNumberingAfterBreak="0">
    <w:nsid w:val="538A25C2"/>
    <w:multiLevelType w:val="multilevel"/>
    <w:tmpl w:val="9364F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6703FC2"/>
    <w:multiLevelType w:val="multilevel"/>
    <w:tmpl w:val="67D0F2C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0" w15:restartNumberingAfterBreak="0">
    <w:nsid w:val="5822670A"/>
    <w:multiLevelType w:val="multilevel"/>
    <w:tmpl w:val="7A36EA6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1" w15:restartNumberingAfterBreak="0">
    <w:nsid w:val="5AD30F25"/>
    <w:multiLevelType w:val="multilevel"/>
    <w:tmpl w:val="46EA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0258AC"/>
    <w:multiLevelType w:val="multilevel"/>
    <w:tmpl w:val="2E8E454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3" w15:restartNumberingAfterBreak="0">
    <w:nsid w:val="65303DF0"/>
    <w:multiLevelType w:val="multilevel"/>
    <w:tmpl w:val="C7767A5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4" w15:restartNumberingAfterBreak="0">
    <w:nsid w:val="66842AE6"/>
    <w:multiLevelType w:val="multilevel"/>
    <w:tmpl w:val="E226737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5" w15:restartNumberingAfterBreak="0">
    <w:nsid w:val="67015EF8"/>
    <w:multiLevelType w:val="multilevel"/>
    <w:tmpl w:val="3BAECB88"/>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6" w15:restartNumberingAfterBreak="0">
    <w:nsid w:val="67957A22"/>
    <w:multiLevelType w:val="multilevel"/>
    <w:tmpl w:val="85B4AD1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7" w15:restartNumberingAfterBreak="0">
    <w:nsid w:val="6A0E6EC7"/>
    <w:multiLevelType w:val="multilevel"/>
    <w:tmpl w:val="337A474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8" w15:restartNumberingAfterBreak="0">
    <w:nsid w:val="6AB7475A"/>
    <w:multiLevelType w:val="multilevel"/>
    <w:tmpl w:val="2000174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9" w15:restartNumberingAfterBreak="0">
    <w:nsid w:val="6F822998"/>
    <w:multiLevelType w:val="multilevel"/>
    <w:tmpl w:val="C19E663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0" w15:restartNumberingAfterBreak="0">
    <w:nsid w:val="704F47A9"/>
    <w:multiLevelType w:val="multilevel"/>
    <w:tmpl w:val="A00C90C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1" w15:restartNumberingAfterBreak="0">
    <w:nsid w:val="707B7811"/>
    <w:multiLevelType w:val="multilevel"/>
    <w:tmpl w:val="E90E630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2" w15:restartNumberingAfterBreak="0">
    <w:nsid w:val="71DC581B"/>
    <w:multiLevelType w:val="multilevel"/>
    <w:tmpl w:val="945E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1F52002"/>
    <w:multiLevelType w:val="multilevel"/>
    <w:tmpl w:val="486A65B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4" w15:restartNumberingAfterBreak="0">
    <w:nsid w:val="73CA548A"/>
    <w:multiLevelType w:val="multilevel"/>
    <w:tmpl w:val="FF04FB2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5" w15:restartNumberingAfterBreak="0">
    <w:nsid w:val="75DF3FD3"/>
    <w:multiLevelType w:val="multilevel"/>
    <w:tmpl w:val="6046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67E19F0"/>
    <w:multiLevelType w:val="multilevel"/>
    <w:tmpl w:val="640CA0F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7" w15:restartNumberingAfterBreak="0">
    <w:nsid w:val="76CE7BED"/>
    <w:multiLevelType w:val="multilevel"/>
    <w:tmpl w:val="2EDE501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8" w15:restartNumberingAfterBreak="0">
    <w:nsid w:val="78275309"/>
    <w:multiLevelType w:val="multilevel"/>
    <w:tmpl w:val="AF92F47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9" w15:restartNumberingAfterBreak="0">
    <w:nsid w:val="7AE73D7E"/>
    <w:multiLevelType w:val="multilevel"/>
    <w:tmpl w:val="B0EA9BB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0" w15:restartNumberingAfterBreak="0">
    <w:nsid w:val="7B676D14"/>
    <w:multiLevelType w:val="multilevel"/>
    <w:tmpl w:val="C7B4C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3362761">
    <w:abstractNumId w:val="60"/>
  </w:num>
  <w:num w:numId="2" w16cid:durableId="1415321008">
    <w:abstractNumId w:val="8"/>
  </w:num>
  <w:num w:numId="3" w16cid:durableId="1962688703">
    <w:abstractNumId w:val="41"/>
  </w:num>
  <w:num w:numId="4" w16cid:durableId="1612861999">
    <w:abstractNumId w:val="14"/>
  </w:num>
  <w:num w:numId="5" w16cid:durableId="1167556478">
    <w:abstractNumId w:val="13"/>
  </w:num>
  <w:num w:numId="6" w16cid:durableId="1908497321">
    <w:abstractNumId w:val="38"/>
  </w:num>
  <w:num w:numId="7" w16cid:durableId="743140719">
    <w:abstractNumId w:val="25"/>
  </w:num>
  <w:num w:numId="8" w16cid:durableId="406340403">
    <w:abstractNumId w:val="7"/>
  </w:num>
  <w:num w:numId="9" w16cid:durableId="1350447539">
    <w:abstractNumId w:val="28"/>
  </w:num>
  <w:num w:numId="10" w16cid:durableId="414715002">
    <w:abstractNumId w:val="32"/>
  </w:num>
  <w:num w:numId="11" w16cid:durableId="127475622">
    <w:abstractNumId w:val="55"/>
  </w:num>
  <w:num w:numId="12" w16cid:durableId="1553733699">
    <w:abstractNumId w:val="57"/>
  </w:num>
  <w:num w:numId="13" w16cid:durableId="1808544967">
    <w:abstractNumId w:val="59"/>
  </w:num>
  <w:num w:numId="14" w16cid:durableId="1960405934">
    <w:abstractNumId w:val="47"/>
  </w:num>
  <w:num w:numId="15" w16cid:durableId="740754559">
    <w:abstractNumId w:val="22"/>
  </w:num>
  <w:num w:numId="16" w16cid:durableId="805465311">
    <w:abstractNumId w:val="9"/>
  </w:num>
  <w:num w:numId="17" w16cid:durableId="95249466">
    <w:abstractNumId w:val="42"/>
  </w:num>
  <w:num w:numId="18" w16cid:durableId="2003579391">
    <w:abstractNumId w:val="39"/>
  </w:num>
  <w:num w:numId="19" w16cid:durableId="290406089">
    <w:abstractNumId w:val="33"/>
  </w:num>
  <w:num w:numId="20" w16cid:durableId="754084244">
    <w:abstractNumId w:val="43"/>
  </w:num>
  <w:num w:numId="21" w16cid:durableId="1697926510">
    <w:abstractNumId w:val="5"/>
  </w:num>
  <w:num w:numId="22" w16cid:durableId="1655066978">
    <w:abstractNumId w:val="17"/>
  </w:num>
  <w:num w:numId="23" w16cid:durableId="745885621">
    <w:abstractNumId w:val="44"/>
  </w:num>
  <w:num w:numId="24" w16cid:durableId="709886846">
    <w:abstractNumId w:val="6"/>
  </w:num>
  <w:num w:numId="25" w16cid:durableId="1678187520">
    <w:abstractNumId w:val="40"/>
  </w:num>
  <w:num w:numId="26" w16cid:durableId="1747726755">
    <w:abstractNumId w:val="45"/>
  </w:num>
  <w:num w:numId="27" w16cid:durableId="766921944">
    <w:abstractNumId w:val="1"/>
  </w:num>
  <w:num w:numId="28" w16cid:durableId="1183546866">
    <w:abstractNumId w:val="21"/>
  </w:num>
  <w:num w:numId="29" w16cid:durableId="474032639">
    <w:abstractNumId w:val="53"/>
  </w:num>
  <w:num w:numId="30" w16cid:durableId="126359756">
    <w:abstractNumId w:val="36"/>
  </w:num>
  <w:num w:numId="31" w16cid:durableId="693725408">
    <w:abstractNumId w:val="51"/>
  </w:num>
  <w:num w:numId="32" w16cid:durableId="2144998202">
    <w:abstractNumId w:val="18"/>
  </w:num>
  <w:num w:numId="33" w16cid:durableId="993491987">
    <w:abstractNumId w:val="23"/>
  </w:num>
  <w:num w:numId="34" w16cid:durableId="317661266">
    <w:abstractNumId w:val="19"/>
  </w:num>
  <w:num w:numId="35" w16cid:durableId="1283995427">
    <w:abstractNumId w:val="10"/>
  </w:num>
  <w:num w:numId="36" w16cid:durableId="2099670711">
    <w:abstractNumId w:val="0"/>
  </w:num>
  <w:num w:numId="37" w16cid:durableId="1887330098">
    <w:abstractNumId w:val="11"/>
  </w:num>
  <w:num w:numId="38" w16cid:durableId="674114246">
    <w:abstractNumId w:val="27"/>
  </w:num>
  <w:num w:numId="39" w16cid:durableId="178661396">
    <w:abstractNumId w:val="16"/>
  </w:num>
  <w:num w:numId="40" w16cid:durableId="730692118">
    <w:abstractNumId w:val="29"/>
  </w:num>
  <w:num w:numId="41" w16cid:durableId="1959412872">
    <w:abstractNumId w:val="58"/>
  </w:num>
  <w:num w:numId="42" w16cid:durableId="1020661795">
    <w:abstractNumId w:val="34"/>
  </w:num>
  <w:num w:numId="43" w16cid:durableId="1486311242">
    <w:abstractNumId w:val="35"/>
  </w:num>
  <w:num w:numId="44" w16cid:durableId="1473210907">
    <w:abstractNumId w:val="4"/>
  </w:num>
  <w:num w:numId="45" w16cid:durableId="1348559138">
    <w:abstractNumId w:val="31"/>
  </w:num>
  <w:num w:numId="46" w16cid:durableId="1611280206">
    <w:abstractNumId w:val="54"/>
  </w:num>
  <w:num w:numId="47" w16cid:durableId="1317687190">
    <w:abstractNumId w:val="56"/>
  </w:num>
  <w:num w:numId="48" w16cid:durableId="1584988767">
    <w:abstractNumId w:val="49"/>
  </w:num>
  <w:num w:numId="49" w16cid:durableId="1744914367">
    <w:abstractNumId w:val="15"/>
  </w:num>
  <w:num w:numId="50" w16cid:durableId="976179711">
    <w:abstractNumId w:val="24"/>
  </w:num>
  <w:num w:numId="51" w16cid:durableId="1306666041">
    <w:abstractNumId w:val="50"/>
  </w:num>
  <w:num w:numId="52" w16cid:durableId="386144139">
    <w:abstractNumId w:val="2"/>
  </w:num>
  <w:num w:numId="53" w16cid:durableId="211114196">
    <w:abstractNumId w:val="46"/>
  </w:num>
  <w:num w:numId="54" w16cid:durableId="946473773">
    <w:abstractNumId w:val="12"/>
  </w:num>
  <w:num w:numId="55" w16cid:durableId="979457517">
    <w:abstractNumId w:val="20"/>
  </w:num>
  <w:num w:numId="56" w16cid:durableId="597257008">
    <w:abstractNumId w:val="26"/>
  </w:num>
  <w:num w:numId="57" w16cid:durableId="156503810">
    <w:abstractNumId w:val="37"/>
  </w:num>
  <w:num w:numId="58" w16cid:durableId="864445976">
    <w:abstractNumId w:val="48"/>
  </w:num>
  <w:num w:numId="59" w16cid:durableId="719743400">
    <w:abstractNumId w:val="30"/>
  </w:num>
  <w:num w:numId="60" w16cid:durableId="833451993">
    <w:abstractNumId w:val="52"/>
  </w:num>
  <w:num w:numId="61" w16cid:durableId="1808432737">
    <w:abstractNumId w:val="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ED0"/>
    <w:rsid w:val="000212BC"/>
    <w:rsid w:val="0002310E"/>
    <w:rsid w:val="00044F08"/>
    <w:rsid w:val="00046964"/>
    <w:rsid w:val="0004A688"/>
    <w:rsid w:val="00053757"/>
    <w:rsid w:val="00056619"/>
    <w:rsid w:val="000605D1"/>
    <w:rsid w:val="00070696"/>
    <w:rsid w:val="0007325D"/>
    <w:rsid w:val="000749D9"/>
    <w:rsid w:val="00087730"/>
    <w:rsid w:val="00091DC0"/>
    <w:rsid w:val="0009415F"/>
    <w:rsid w:val="000B5B0F"/>
    <w:rsid w:val="000C0D83"/>
    <w:rsid w:val="000C62A8"/>
    <w:rsid w:val="000C7603"/>
    <w:rsid w:val="000F1CD1"/>
    <w:rsid w:val="000F734C"/>
    <w:rsid w:val="001018B0"/>
    <w:rsid w:val="001144E1"/>
    <w:rsid w:val="001149DA"/>
    <w:rsid w:val="00116328"/>
    <w:rsid w:val="00145DDE"/>
    <w:rsid w:val="00156549"/>
    <w:rsid w:val="001707DE"/>
    <w:rsid w:val="00185F4E"/>
    <w:rsid w:val="001944FF"/>
    <w:rsid w:val="001A10ED"/>
    <w:rsid w:val="001C3B36"/>
    <w:rsid w:val="001D7320"/>
    <w:rsid w:val="001E413A"/>
    <w:rsid w:val="001E660F"/>
    <w:rsid w:val="001F7C0C"/>
    <w:rsid w:val="00207859"/>
    <w:rsid w:val="00212195"/>
    <w:rsid w:val="002152FC"/>
    <w:rsid w:val="00223975"/>
    <w:rsid w:val="002246AD"/>
    <w:rsid w:val="00234339"/>
    <w:rsid w:val="00235BE2"/>
    <w:rsid w:val="00254CA5"/>
    <w:rsid w:val="00256C2C"/>
    <w:rsid w:val="0027256D"/>
    <w:rsid w:val="002B2F10"/>
    <w:rsid w:val="002C38BA"/>
    <w:rsid w:val="002E473C"/>
    <w:rsid w:val="002F1DFA"/>
    <w:rsid w:val="002F32B0"/>
    <w:rsid w:val="003033DE"/>
    <w:rsid w:val="003140FA"/>
    <w:rsid w:val="00316595"/>
    <w:rsid w:val="00325692"/>
    <w:rsid w:val="00334A47"/>
    <w:rsid w:val="00340F99"/>
    <w:rsid w:val="00341AF0"/>
    <w:rsid w:val="00366912"/>
    <w:rsid w:val="00373238"/>
    <w:rsid w:val="00381F50"/>
    <w:rsid w:val="0038291B"/>
    <w:rsid w:val="00390916"/>
    <w:rsid w:val="003A5A07"/>
    <w:rsid w:val="003B2382"/>
    <w:rsid w:val="003B33BF"/>
    <w:rsid w:val="003C2CD6"/>
    <w:rsid w:val="003C58FA"/>
    <w:rsid w:val="003C5F91"/>
    <w:rsid w:val="003D1B2C"/>
    <w:rsid w:val="003D5080"/>
    <w:rsid w:val="003E0D88"/>
    <w:rsid w:val="003E190C"/>
    <w:rsid w:val="00406422"/>
    <w:rsid w:val="00414A70"/>
    <w:rsid w:val="00420C45"/>
    <w:rsid w:val="00421886"/>
    <w:rsid w:val="00422A83"/>
    <w:rsid w:val="00431606"/>
    <w:rsid w:val="004434A7"/>
    <w:rsid w:val="00443DB4"/>
    <w:rsid w:val="00447D4C"/>
    <w:rsid w:val="00453490"/>
    <w:rsid w:val="004570F3"/>
    <w:rsid w:val="00460B30"/>
    <w:rsid w:val="004650D3"/>
    <w:rsid w:val="00470377"/>
    <w:rsid w:val="00471AC9"/>
    <w:rsid w:val="0047674A"/>
    <w:rsid w:val="00487F5C"/>
    <w:rsid w:val="004A243D"/>
    <w:rsid w:val="004A5EFE"/>
    <w:rsid w:val="004B2500"/>
    <w:rsid w:val="004B67F1"/>
    <w:rsid w:val="004C4EF7"/>
    <w:rsid w:val="004C74F7"/>
    <w:rsid w:val="004D530A"/>
    <w:rsid w:val="004E5A48"/>
    <w:rsid w:val="004F2B64"/>
    <w:rsid w:val="004F4BAD"/>
    <w:rsid w:val="004F5F26"/>
    <w:rsid w:val="004F65A9"/>
    <w:rsid w:val="00517EAB"/>
    <w:rsid w:val="00530732"/>
    <w:rsid w:val="00540527"/>
    <w:rsid w:val="00552B69"/>
    <w:rsid w:val="005906A0"/>
    <w:rsid w:val="0059203E"/>
    <w:rsid w:val="00592DFB"/>
    <w:rsid w:val="00594383"/>
    <w:rsid w:val="005A1FC2"/>
    <w:rsid w:val="005A620E"/>
    <w:rsid w:val="005B1805"/>
    <w:rsid w:val="005B7F0D"/>
    <w:rsid w:val="005C44AC"/>
    <w:rsid w:val="005D1838"/>
    <w:rsid w:val="005F3EAA"/>
    <w:rsid w:val="005F4EE1"/>
    <w:rsid w:val="005F56DD"/>
    <w:rsid w:val="00611221"/>
    <w:rsid w:val="0061476C"/>
    <w:rsid w:val="006357EF"/>
    <w:rsid w:val="00642D9E"/>
    <w:rsid w:val="00651B38"/>
    <w:rsid w:val="00661DDF"/>
    <w:rsid w:val="0066746B"/>
    <w:rsid w:val="00667552"/>
    <w:rsid w:val="006724FF"/>
    <w:rsid w:val="00675E4A"/>
    <w:rsid w:val="00676C6C"/>
    <w:rsid w:val="00695254"/>
    <w:rsid w:val="006B4696"/>
    <w:rsid w:val="006C08E4"/>
    <w:rsid w:val="006D7B3E"/>
    <w:rsid w:val="006F4C19"/>
    <w:rsid w:val="006F5BCE"/>
    <w:rsid w:val="0070467C"/>
    <w:rsid w:val="00716DB6"/>
    <w:rsid w:val="00746781"/>
    <w:rsid w:val="00756094"/>
    <w:rsid w:val="007703D9"/>
    <w:rsid w:val="00780F24"/>
    <w:rsid w:val="00785EE6"/>
    <w:rsid w:val="00790F76"/>
    <w:rsid w:val="00796ABA"/>
    <w:rsid w:val="00797AEE"/>
    <w:rsid w:val="007A167A"/>
    <w:rsid w:val="007A4022"/>
    <w:rsid w:val="007A76F3"/>
    <w:rsid w:val="007B28D9"/>
    <w:rsid w:val="007C3C29"/>
    <w:rsid w:val="007E3909"/>
    <w:rsid w:val="007E55A0"/>
    <w:rsid w:val="007E6A4E"/>
    <w:rsid w:val="007F3146"/>
    <w:rsid w:val="00801630"/>
    <w:rsid w:val="00802D90"/>
    <w:rsid w:val="00814647"/>
    <w:rsid w:val="00831B8F"/>
    <w:rsid w:val="00834720"/>
    <w:rsid w:val="00857602"/>
    <w:rsid w:val="00873FED"/>
    <w:rsid w:val="00883BD5"/>
    <w:rsid w:val="00884073"/>
    <w:rsid w:val="0089748F"/>
    <w:rsid w:val="008A1592"/>
    <w:rsid w:val="008A5CF5"/>
    <w:rsid w:val="008B7B56"/>
    <w:rsid w:val="008D1196"/>
    <w:rsid w:val="008F4A64"/>
    <w:rsid w:val="009230E7"/>
    <w:rsid w:val="00936248"/>
    <w:rsid w:val="009527F8"/>
    <w:rsid w:val="009B0C4B"/>
    <w:rsid w:val="009C4A45"/>
    <w:rsid w:val="009C5A43"/>
    <w:rsid w:val="009C7889"/>
    <w:rsid w:val="009D3D5D"/>
    <w:rsid w:val="009D41F7"/>
    <w:rsid w:val="009D5043"/>
    <w:rsid w:val="009D69B7"/>
    <w:rsid w:val="009D79B0"/>
    <w:rsid w:val="009E1B4A"/>
    <w:rsid w:val="009E331A"/>
    <w:rsid w:val="009F339C"/>
    <w:rsid w:val="009F3535"/>
    <w:rsid w:val="009F3782"/>
    <w:rsid w:val="00A13B3E"/>
    <w:rsid w:val="00A14120"/>
    <w:rsid w:val="00A14BF0"/>
    <w:rsid w:val="00A17B76"/>
    <w:rsid w:val="00A344CD"/>
    <w:rsid w:val="00A4046B"/>
    <w:rsid w:val="00A40811"/>
    <w:rsid w:val="00A6038E"/>
    <w:rsid w:val="00A874D4"/>
    <w:rsid w:val="00AA63B3"/>
    <w:rsid w:val="00AB5646"/>
    <w:rsid w:val="00AE1E9E"/>
    <w:rsid w:val="00AE72DA"/>
    <w:rsid w:val="00AF3AC0"/>
    <w:rsid w:val="00AF4200"/>
    <w:rsid w:val="00AF63F8"/>
    <w:rsid w:val="00B156CA"/>
    <w:rsid w:val="00B23E20"/>
    <w:rsid w:val="00B40ED0"/>
    <w:rsid w:val="00B520A1"/>
    <w:rsid w:val="00B60CFD"/>
    <w:rsid w:val="00B660D8"/>
    <w:rsid w:val="00B83FED"/>
    <w:rsid w:val="00B84BD7"/>
    <w:rsid w:val="00B90FAC"/>
    <w:rsid w:val="00BA0201"/>
    <w:rsid w:val="00BA399E"/>
    <w:rsid w:val="00BA744C"/>
    <w:rsid w:val="00BC3330"/>
    <w:rsid w:val="00BC64F7"/>
    <w:rsid w:val="00BD403D"/>
    <w:rsid w:val="00BD7969"/>
    <w:rsid w:val="00BE304D"/>
    <w:rsid w:val="00BF4DDF"/>
    <w:rsid w:val="00C15571"/>
    <w:rsid w:val="00C20DC6"/>
    <w:rsid w:val="00C2477C"/>
    <w:rsid w:val="00C277B2"/>
    <w:rsid w:val="00C3384D"/>
    <w:rsid w:val="00C407AA"/>
    <w:rsid w:val="00C45919"/>
    <w:rsid w:val="00C4765B"/>
    <w:rsid w:val="00C73928"/>
    <w:rsid w:val="00C80D4E"/>
    <w:rsid w:val="00C9699D"/>
    <w:rsid w:val="00CA0010"/>
    <w:rsid w:val="00CA2382"/>
    <w:rsid w:val="00CA62B7"/>
    <w:rsid w:val="00CB2C25"/>
    <w:rsid w:val="00CB41E0"/>
    <w:rsid w:val="00CE14F4"/>
    <w:rsid w:val="00CE5285"/>
    <w:rsid w:val="00CF0172"/>
    <w:rsid w:val="00D13A8C"/>
    <w:rsid w:val="00D21818"/>
    <w:rsid w:val="00D22AE6"/>
    <w:rsid w:val="00D2616D"/>
    <w:rsid w:val="00D40C43"/>
    <w:rsid w:val="00D457B1"/>
    <w:rsid w:val="00D4673F"/>
    <w:rsid w:val="00D53960"/>
    <w:rsid w:val="00D53C8C"/>
    <w:rsid w:val="00D53E5A"/>
    <w:rsid w:val="00D54BC2"/>
    <w:rsid w:val="00D563F0"/>
    <w:rsid w:val="00D5745A"/>
    <w:rsid w:val="00D61397"/>
    <w:rsid w:val="00D62E7A"/>
    <w:rsid w:val="00D66EEE"/>
    <w:rsid w:val="00D671B1"/>
    <w:rsid w:val="00D70E42"/>
    <w:rsid w:val="00D83923"/>
    <w:rsid w:val="00DA44BC"/>
    <w:rsid w:val="00DB1EBD"/>
    <w:rsid w:val="00DD30D7"/>
    <w:rsid w:val="00DD49EF"/>
    <w:rsid w:val="00DD7C94"/>
    <w:rsid w:val="00DE2051"/>
    <w:rsid w:val="00E04D68"/>
    <w:rsid w:val="00E07C87"/>
    <w:rsid w:val="00E42CF9"/>
    <w:rsid w:val="00E555C5"/>
    <w:rsid w:val="00E5703C"/>
    <w:rsid w:val="00E75252"/>
    <w:rsid w:val="00E75E2F"/>
    <w:rsid w:val="00EA03CA"/>
    <w:rsid w:val="00EC06CB"/>
    <w:rsid w:val="00EC429D"/>
    <w:rsid w:val="00ED4C09"/>
    <w:rsid w:val="00EF0D92"/>
    <w:rsid w:val="00F13A41"/>
    <w:rsid w:val="00F15445"/>
    <w:rsid w:val="00F30BE6"/>
    <w:rsid w:val="00F44427"/>
    <w:rsid w:val="00F53D1E"/>
    <w:rsid w:val="00F55867"/>
    <w:rsid w:val="00F80E8B"/>
    <w:rsid w:val="00FA0913"/>
    <w:rsid w:val="00FA6AAD"/>
    <w:rsid w:val="00FB0E4D"/>
    <w:rsid w:val="00FB22A4"/>
    <w:rsid w:val="00FB2872"/>
    <w:rsid w:val="00FC0380"/>
    <w:rsid w:val="00FC15FF"/>
    <w:rsid w:val="00FC18A0"/>
    <w:rsid w:val="00FE29A6"/>
    <w:rsid w:val="00FE3D59"/>
    <w:rsid w:val="00FE491F"/>
    <w:rsid w:val="00FE4E1E"/>
    <w:rsid w:val="00FF67C1"/>
    <w:rsid w:val="04DEA291"/>
    <w:rsid w:val="04EE3383"/>
    <w:rsid w:val="08515ED7"/>
    <w:rsid w:val="0990FE1F"/>
    <w:rsid w:val="0B562F7D"/>
    <w:rsid w:val="0D3FAA41"/>
    <w:rsid w:val="0D9168DC"/>
    <w:rsid w:val="11E72328"/>
    <w:rsid w:val="1538582F"/>
    <w:rsid w:val="18922D16"/>
    <w:rsid w:val="191ED235"/>
    <w:rsid w:val="1B3EA73D"/>
    <w:rsid w:val="1B5E36B4"/>
    <w:rsid w:val="1F629D30"/>
    <w:rsid w:val="1FAEE76A"/>
    <w:rsid w:val="205EF21E"/>
    <w:rsid w:val="20CBBC37"/>
    <w:rsid w:val="20E530F8"/>
    <w:rsid w:val="21CA8506"/>
    <w:rsid w:val="2354980C"/>
    <w:rsid w:val="263AA690"/>
    <w:rsid w:val="2F0CA33F"/>
    <w:rsid w:val="2F5747E3"/>
    <w:rsid w:val="3091EBC8"/>
    <w:rsid w:val="3392E62A"/>
    <w:rsid w:val="35524CFD"/>
    <w:rsid w:val="35D3503C"/>
    <w:rsid w:val="38D13608"/>
    <w:rsid w:val="394EB5B3"/>
    <w:rsid w:val="39F02964"/>
    <w:rsid w:val="39F6301A"/>
    <w:rsid w:val="3ABEFB70"/>
    <w:rsid w:val="3C43A8BE"/>
    <w:rsid w:val="3D2541E4"/>
    <w:rsid w:val="3DC2EF97"/>
    <w:rsid w:val="3FBF115A"/>
    <w:rsid w:val="4000B4FF"/>
    <w:rsid w:val="46801671"/>
    <w:rsid w:val="495424BD"/>
    <w:rsid w:val="4B35B2A5"/>
    <w:rsid w:val="4CED32A0"/>
    <w:rsid w:val="50E2C82F"/>
    <w:rsid w:val="50FB95A1"/>
    <w:rsid w:val="551F7104"/>
    <w:rsid w:val="55970144"/>
    <w:rsid w:val="55D0441D"/>
    <w:rsid w:val="5B316B43"/>
    <w:rsid w:val="5B682D50"/>
    <w:rsid w:val="5BEF6571"/>
    <w:rsid w:val="606440F9"/>
    <w:rsid w:val="6B31EB7E"/>
    <w:rsid w:val="6BEC7515"/>
    <w:rsid w:val="6C6DE6F1"/>
    <w:rsid w:val="6FC6E99A"/>
    <w:rsid w:val="70E13273"/>
    <w:rsid w:val="7240AC36"/>
    <w:rsid w:val="7318B80E"/>
    <w:rsid w:val="788BBDCA"/>
    <w:rsid w:val="7895FF9D"/>
    <w:rsid w:val="7A5377E1"/>
    <w:rsid w:val="7C2334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08336"/>
  <w15:chartTrackingRefBased/>
  <w15:docId w15:val="{5A112F1D-3D46-4262-97A7-ACB21413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1"/>
    </w:rPr>
  </w:style>
  <w:style w:type="paragraph" w:styleId="Ttulo1">
    <w:name w:val="heading 1"/>
    <w:basedOn w:val="Normal"/>
    <w:next w:val="Normal"/>
    <w:link w:val="Ttulo1Car"/>
    <w:uiPriority w:val="9"/>
    <w:qFormat/>
    <w:rsid w:val="005B1805"/>
    <w:pPr>
      <w:keepNext/>
      <w:keepLines/>
      <w:shd w:val="clear" w:color="auto" w:fill="12358E"/>
      <w:spacing w:before="240" w:after="240" w:line="276" w:lineRule="auto"/>
      <w:jc w:val="both"/>
      <w:outlineLvl w:val="0"/>
    </w:pPr>
    <w:rPr>
      <w:rFonts w:eastAsiaTheme="majorEastAsia" w:cstheme="majorBidi"/>
      <w:b/>
      <w:bCs/>
      <w:color w:val="FFFFFF" w:themeColor="background1"/>
      <w:sz w:val="28"/>
      <w:szCs w:val="28"/>
      <w:lang w:val="en-US"/>
    </w:rPr>
  </w:style>
  <w:style w:type="paragraph" w:styleId="Ttulo2">
    <w:name w:val="heading 2"/>
    <w:basedOn w:val="Normal"/>
    <w:next w:val="Normal"/>
    <w:link w:val="Ttulo2Car"/>
    <w:uiPriority w:val="9"/>
    <w:unhideWhenUsed/>
    <w:qFormat/>
    <w:rsid w:val="006D7B3E"/>
    <w:pPr>
      <w:keepNext/>
      <w:keepLines/>
      <w:spacing w:after="60" w:line="276" w:lineRule="auto"/>
      <w:ind w:left="709"/>
      <w:jc w:val="both"/>
      <w:outlineLvl w:val="1"/>
    </w:pPr>
    <w:rPr>
      <w:rFonts w:eastAsiaTheme="majorEastAsia" w:cstheme="majorBidi"/>
      <w:b/>
      <w:bCs/>
      <w:color w:val="8C52FF"/>
      <w:sz w:val="28"/>
      <w:szCs w:val="28"/>
      <w:lang w:val="en-US"/>
    </w:rPr>
  </w:style>
  <w:style w:type="paragraph" w:styleId="Ttulo3">
    <w:name w:val="heading 3"/>
    <w:basedOn w:val="Normal"/>
    <w:next w:val="Normal"/>
    <w:link w:val="Ttulo3Car"/>
    <w:uiPriority w:val="9"/>
    <w:unhideWhenUsed/>
    <w:qFormat/>
    <w:rsid w:val="006D7B3E"/>
    <w:pPr>
      <w:keepNext/>
      <w:keepLines/>
      <w:spacing w:after="60" w:line="276" w:lineRule="auto"/>
      <w:ind w:left="709"/>
      <w:jc w:val="both"/>
      <w:outlineLvl w:val="2"/>
    </w:pPr>
    <w:rPr>
      <w:rFonts w:eastAsiaTheme="majorEastAsia" w:cstheme="majorBidi"/>
      <w:b/>
      <w:bCs/>
      <w:color w:val="8C52FF"/>
      <w:sz w:val="28"/>
      <w:szCs w:val="28"/>
      <w:lang w:val="en-US"/>
    </w:rPr>
  </w:style>
  <w:style w:type="paragraph" w:styleId="Ttulo4">
    <w:name w:val="heading 4"/>
    <w:basedOn w:val="Ttulo7"/>
    <w:next w:val="Normal"/>
    <w:link w:val="Ttulo4Car"/>
    <w:uiPriority w:val="9"/>
    <w:unhideWhenUsed/>
    <w:qFormat/>
    <w:rsid w:val="00D70E42"/>
    <w:pPr>
      <w:outlineLvl w:val="3"/>
    </w:pPr>
  </w:style>
  <w:style w:type="paragraph" w:styleId="Ttulo5">
    <w:name w:val="heading 5"/>
    <w:basedOn w:val="Normal"/>
    <w:next w:val="Normal"/>
    <w:link w:val="Ttulo5Car"/>
    <w:uiPriority w:val="9"/>
    <w:unhideWhenUsed/>
    <w:qFormat/>
    <w:rsid w:val="000C7603"/>
    <w:pPr>
      <w:keepNext/>
      <w:keepLines/>
      <w:spacing w:after="60" w:line="276" w:lineRule="auto"/>
      <w:ind w:left="708"/>
      <w:jc w:val="both"/>
      <w:outlineLvl w:val="4"/>
    </w:pPr>
    <w:rPr>
      <w:rFonts w:ascii="Arial Nova Cond" w:eastAsiaTheme="majorEastAsia" w:hAnsi="Arial Nova Cond" w:cstheme="majorBidi"/>
      <w:b/>
      <w:bCs/>
      <w:color w:val="8C52FF"/>
      <w:sz w:val="28"/>
      <w:szCs w:val="28"/>
      <w:lang w:val="en-US"/>
    </w:rPr>
  </w:style>
  <w:style w:type="paragraph" w:styleId="Ttulo6">
    <w:name w:val="heading 6"/>
    <w:basedOn w:val="Normal"/>
    <w:next w:val="Normal"/>
    <w:link w:val="Ttulo6Car"/>
    <w:uiPriority w:val="9"/>
    <w:unhideWhenUsed/>
    <w:qFormat/>
    <w:rsid w:val="000C7603"/>
    <w:pPr>
      <w:keepNext/>
      <w:keepLines/>
      <w:spacing w:after="60" w:line="276" w:lineRule="auto"/>
      <w:ind w:left="708"/>
      <w:jc w:val="both"/>
      <w:outlineLvl w:val="5"/>
    </w:pPr>
    <w:rPr>
      <w:rFonts w:ascii="Arial Nova Cond" w:eastAsiaTheme="majorEastAsia" w:hAnsi="Arial Nova Cond" w:cstheme="majorBidi"/>
      <w:b/>
      <w:bCs/>
      <w:color w:val="8C52FF"/>
      <w:sz w:val="28"/>
      <w:szCs w:val="28"/>
      <w:lang w:val="en-US"/>
    </w:rPr>
  </w:style>
  <w:style w:type="paragraph" w:styleId="Ttulo7">
    <w:name w:val="heading 7"/>
    <w:basedOn w:val="Normal"/>
    <w:next w:val="Normal"/>
    <w:link w:val="Ttulo7Car"/>
    <w:uiPriority w:val="9"/>
    <w:unhideWhenUsed/>
    <w:qFormat/>
    <w:rsid w:val="000C7603"/>
    <w:pPr>
      <w:keepNext/>
      <w:keepLines/>
      <w:spacing w:after="60" w:line="276" w:lineRule="auto"/>
      <w:ind w:left="708"/>
      <w:jc w:val="both"/>
      <w:outlineLvl w:val="6"/>
    </w:pPr>
    <w:rPr>
      <w:rFonts w:ascii="Arial Nova Cond" w:eastAsiaTheme="majorEastAsia" w:hAnsi="Arial Nova Cond" w:cstheme="majorBidi"/>
      <w:b/>
      <w:bCs/>
      <w:color w:val="8C52FF"/>
      <w:sz w:val="28"/>
      <w:szCs w:val="28"/>
      <w:lang w:val="en-US"/>
    </w:rPr>
  </w:style>
  <w:style w:type="paragraph" w:styleId="Ttulo8">
    <w:name w:val="heading 8"/>
    <w:basedOn w:val="Ttulo2"/>
    <w:next w:val="Normal"/>
    <w:link w:val="Ttulo8Car"/>
    <w:uiPriority w:val="9"/>
    <w:unhideWhenUsed/>
    <w:qFormat/>
    <w:rsid w:val="000C7603"/>
    <w:pPr>
      <w:outlineLvl w:val="7"/>
    </w:pPr>
  </w:style>
  <w:style w:type="paragraph" w:styleId="Ttulo9">
    <w:name w:val="heading 9"/>
    <w:basedOn w:val="Normal"/>
    <w:next w:val="Normal"/>
    <w:link w:val="Ttulo9Car"/>
    <w:uiPriority w:val="9"/>
    <w:unhideWhenUsed/>
    <w:qFormat/>
    <w:rsid w:val="00CB41E0"/>
    <w:pPr>
      <w:keepNext/>
      <w:keepLines/>
      <w:spacing w:after="0"/>
      <w:ind w:left="708"/>
      <w:outlineLvl w:val="8"/>
    </w:pPr>
    <w:rPr>
      <w:rFonts w:ascii="Arial Nova Cond" w:eastAsiaTheme="majorEastAsia" w:hAnsi="Arial Nova Cond" w:cstheme="majorBidi"/>
      <w:b/>
      <w:bCs/>
      <w:color w:val="8C52FF"/>
      <w:sz w:val="28"/>
      <w:szCs w:val="2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1805"/>
    <w:rPr>
      <w:rFonts w:ascii="Arial Nova Cond" w:eastAsiaTheme="majorEastAsia" w:hAnsi="Arial Nova Cond" w:cstheme="majorBidi"/>
      <w:b/>
      <w:bCs/>
      <w:color w:val="FFFFFF" w:themeColor="background1"/>
      <w:sz w:val="28"/>
      <w:szCs w:val="28"/>
      <w:shd w:val="clear" w:color="auto" w:fill="12358E"/>
      <w:lang w:val="en-US"/>
    </w:rPr>
  </w:style>
  <w:style w:type="character" w:customStyle="1" w:styleId="Ttulo2Car">
    <w:name w:val="Título 2 Car"/>
    <w:basedOn w:val="Fuentedeprrafopredeter"/>
    <w:link w:val="Ttulo2"/>
    <w:uiPriority w:val="9"/>
    <w:rsid w:val="006D7B3E"/>
    <w:rPr>
      <w:rFonts w:ascii="Arial Nova Cond" w:eastAsiaTheme="majorEastAsia" w:hAnsi="Arial Nova Cond" w:cstheme="majorBidi"/>
      <w:b/>
      <w:bCs/>
      <w:color w:val="8C52FF"/>
      <w:sz w:val="28"/>
      <w:szCs w:val="28"/>
      <w:lang w:val="en-US"/>
    </w:rPr>
  </w:style>
  <w:style w:type="character" w:customStyle="1" w:styleId="Ttulo3Car">
    <w:name w:val="Título 3 Car"/>
    <w:basedOn w:val="Fuentedeprrafopredeter"/>
    <w:link w:val="Ttulo3"/>
    <w:uiPriority w:val="9"/>
    <w:rsid w:val="006D7B3E"/>
    <w:rPr>
      <w:rFonts w:eastAsiaTheme="majorEastAsia" w:cstheme="majorBidi"/>
      <w:b/>
      <w:bCs/>
      <w:color w:val="8C52FF"/>
      <w:sz w:val="28"/>
      <w:szCs w:val="28"/>
      <w:lang w:val="en-US"/>
    </w:rPr>
  </w:style>
  <w:style w:type="character" w:customStyle="1" w:styleId="Ttulo4Car">
    <w:name w:val="Título 4 Car"/>
    <w:basedOn w:val="Fuentedeprrafopredeter"/>
    <w:link w:val="Ttulo4"/>
    <w:uiPriority w:val="9"/>
    <w:rsid w:val="00D70E42"/>
    <w:rPr>
      <w:rFonts w:ascii="Arial Nova Cond" w:eastAsiaTheme="majorEastAsia" w:hAnsi="Arial Nova Cond" w:cstheme="majorBidi"/>
      <w:b/>
      <w:bCs/>
      <w:color w:val="8C52FF"/>
      <w:sz w:val="28"/>
      <w:szCs w:val="28"/>
      <w:lang w:val="en-US"/>
    </w:rPr>
  </w:style>
  <w:style w:type="character" w:customStyle="1" w:styleId="Ttulo5Car">
    <w:name w:val="Título 5 Car"/>
    <w:basedOn w:val="Fuentedeprrafopredeter"/>
    <w:link w:val="Ttulo5"/>
    <w:uiPriority w:val="9"/>
    <w:rsid w:val="000C7603"/>
    <w:rPr>
      <w:rFonts w:ascii="Arial Nova Cond" w:eastAsiaTheme="majorEastAsia" w:hAnsi="Arial Nova Cond" w:cstheme="majorBidi"/>
      <w:b/>
      <w:bCs/>
      <w:color w:val="8C52FF"/>
      <w:sz w:val="28"/>
      <w:szCs w:val="28"/>
      <w:lang w:val="en-US"/>
    </w:rPr>
  </w:style>
  <w:style w:type="character" w:customStyle="1" w:styleId="Ttulo6Car">
    <w:name w:val="Título 6 Car"/>
    <w:basedOn w:val="Fuentedeprrafopredeter"/>
    <w:link w:val="Ttulo6"/>
    <w:uiPriority w:val="9"/>
    <w:rsid w:val="000C7603"/>
    <w:rPr>
      <w:rFonts w:ascii="Arial Nova Cond" w:eastAsiaTheme="majorEastAsia" w:hAnsi="Arial Nova Cond" w:cstheme="majorBidi"/>
      <w:b/>
      <w:bCs/>
      <w:color w:val="8C52FF"/>
      <w:sz w:val="28"/>
      <w:szCs w:val="28"/>
      <w:lang w:val="en-US"/>
    </w:rPr>
  </w:style>
  <w:style w:type="character" w:customStyle="1" w:styleId="Ttulo7Car">
    <w:name w:val="Título 7 Car"/>
    <w:basedOn w:val="Fuentedeprrafopredeter"/>
    <w:link w:val="Ttulo7"/>
    <w:uiPriority w:val="9"/>
    <w:rsid w:val="000C7603"/>
    <w:rPr>
      <w:rFonts w:ascii="Arial Nova Cond" w:eastAsiaTheme="majorEastAsia" w:hAnsi="Arial Nova Cond" w:cstheme="majorBidi"/>
      <w:b/>
      <w:bCs/>
      <w:color w:val="8C52FF"/>
      <w:sz w:val="28"/>
      <w:szCs w:val="28"/>
      <w:lang w:val="en-US"/>
    </w:rPr>
  </w:style>
  <w:style w:type="character" w:customStyle="1" w:styleId="Ttulo8Car">
    <w:name w:val="Título 8 Car"/>
    <w:basedOn w:val="Fuentedeprrafopredeter"/>
    <w:link w:val="Ttulo8"/>
    <w:uiPriority w:val="9"/>
    <w:rsid w:val="000C7603"/>
    <w:rPr>
      <w:rFonts w:ascii="Arial Nova Cond" w:eastAsiaTheme="majorEastAsia" w:hAnsi="Arial Nova Cond" w:cstheme="majorBidi"/>
      <w:b/>
      <w:bCs/>
      <w:color w:val="8C52FF"/>
      <w:sz w:val="28"/>
      <w:szCs w:val="28"/>
      <w:lang w:val="en-US"/>
    </w:rPr>
  </w:style>
  <w:style w:type="character" w:customStyle="1" w:styleId="Ttulo9Car">
    <w:name w:val="Título 9 Car"/>
    <w:basedOn w:val="Fuentedeprrafopredeter"/>
    <w:link w:val="Ttulo9"/>
    <w:uiPriority w:val="9"/>
    <w:rsid w:val="00CB41E0"/>
    <w:rPr>
      <w:rFonts w:ascii="Arial Nova Cond" w:eastAsiaTheme="majorEastAsia" w:hAnsi="Arial Nova Cond" w:cstheme="majorBidi"/>
      <w:b/>
      <w:bCs/>
      <w:color w:val="8C52FF"/>
      <w:sz w:val="28"/>
      <w:szCs w:val="28"/>
      <w:lang w:val="en-US"/>
    </w:rPr>
  </w:style>
  <w:style w:type="paragraph" w:styleId="Ttulo">
    <w:name w:val="Title"/>
    <w:basedOn w:val="Normal"/>
    <w:next w:val="Normal"/>
    <w:link w:val="TtuloCar"/>
    <w:uiPriority w:val="10"/>
    <w:qFormat/>
    <w:rsid w:val="00CB41E0"/>
    <w:pPr>
      <w:spacing w:after="80" w:line="240" w:lineRule="auto"/>
      <w:ind w:left="708"/>
      <w:contextualSpacing/>
    </w:pPr>
    <w:rPr>
      <w:rFonts w:ascii="Arial Nova Cond" w:eastAsiaTheme="majorEastAsia" w:hAnsi="Arial Nova Cond" w:cstheme="majorBidi"/>
      <w:b/>
      <w:bCs/>
      <w:color w:val="8C52FF"/>
      <w:spacing w:val="-10"/>
      <w:kern w:val="28"/>
      <w:sz w:val="28"/>
      <w:szCs w:val="28"/>
      <w:lang w:val="en-US"/>
    </w:rPr>
  </w:style>
  <w:style w:type="character" w:customStyle="1" w:styleId="TtuloCar">
    <w:name w:val="Título Car"/>
    <w:basedOn w:val="Fuentedeprrafopredeter"/>
    <w:link w:val="Ttulo"/>
    <w:uiPriority w:val="10"/>
    <w:rsid w:val="00CB41E0"/>
    <w:rPr>
      <w:rFonts w:ascii="Arial Nova Cond" w:eastAsiaTheme="majorEastAsia" w:hAnsi="Arial Nova Cond" w:cstheme="majorBidi"/>
      <w:b/>
      <w:bCs/>
      <w:color w:val="8C52FF"/>
      <w:spacing w:val="-10"/>
      <w:kern w:val="28"/>
      <w:sz w:val="28"/>
      <w:szCs w:val="28"/>
      <w:lang w:val="en-US"/>
    </w:rPr>
  </w:style>
  <w:style w:type="paragraph" w:styleId="Subttulo">
    <w:name w:val="Subtitle"/>
    <w:basedOn w:val="Normal"/>
    <w:next w:val="Normal"/>
    <w:link w:val="SubttuloCar"/>
    <w:uiPriority w:val="11"/>
    <w:qFormat/>
    <w:rsid w:val="00B40E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0E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0ED0"/>
    <w:pPr>
      <w:spacing w:before="160"/>
      <w:jc w:val="center"/>
    </w:pPr>
    <w:rPr>
      <w:i/>
      <w:iCs/>
      <w:color w:val="404040" w:themeColor="text1" w:themeTint="BF"/>
    </w:rPr>
  </w:style>
  <w:style w:type="character" w:customStyle="1" w:styleId="CitaCar">
    <w:name w:val="Cita Car"/>
    <w:basedOn w:val="Fuentedeprrafopredeter"/>
    <w:link w:val="Cita"/>
    <w:uiPriority w:val="29"/>
    <w:rsid w:val="00B40ED0"/>
    <w:rPr>
      <w:i/>
      <w:iCs/>
      <w:color w:val="404040" w:themeColor="text1" w:themeTint="BF"/>
    </w:rPr>
  </w:style>
  <w:style w:type="paragraph" w:styleId="Prrafodelista">
    <w:name w:val="List Paragraph"/>
    <w:basedOn w:val="Normal"/>
    <w:uiPriority w:val="34"/>
    <w:qFormat/>
    <w:rsid w:val="00B40ED0"/>
    <w:pPr>
      <w:ind w:left="720"/>
      <w:contextualSpacing/>
    </w:pPr>
  </w:style>
  <w:style w:type="character" w:styleId="nfasisintenso">
    <w:name w:val="Intense Emphasis"/>
    <w:basedOn w:val="Fuentedeprrafopredeter"/>
    <w:uiPriority w:val="21"/>
    <w:qFormat/>
    <w:rsid w:val="00B40ED0"/>
    <w:rPr>
      <w:i/>
      <w:iCs/>
      <w:color w:val="0F4761" w:themeColor="accent1" w:themeShade="BF"/>
    </w:rPr>
  </w:style>
  <w:style w:type="paragraph" w:styleId="Citadestacada">
    <w:name w:val="Intense Quote"/>
    <w:basedOn w:val="Normal"/>
    <w:next w:val="Normal"/>
    <w:link w:val="CitadestacadaCar"/>
    <w:uiPriority w:val="30"/>
    <w:qFormat/>
    <w:rsid w:val="00B40E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0ED0"/>
    <w:rPr>
      <w:i/>
      <w:iCs/>
      <w:color w:val="0F4761" w:themeColor="accent1" w:themeShade="BF"/>
    </w:rPr>
  </w:style>
  <w:style w:type="character" w:styleId="Referenciaintensa">
    <w:name w:val="Intense Reference"/>
    <w:basedOn w:val="Fuentedeprrafopredeter"/>
    <w:uiPriority w:val="32"/>
    <w:qFormat/>
    <w:rsid w:val="00B40ED0"/>
    <w:rPr>
      <w:b/>
      <w:bCs/>
      <w:smallCaps/>
      <w:color w:val="0F4761" w:themeColor="accent1" w:themeShade="BF"/>
      <w:spacing w:val="5"/>
    </w:rPr>
  </w:style>
  <w:style w:type="character" w:styleId="Hipervnculo">
    <w:name w:val="Hyperlink"/>
    <w:basedOn w:val="Fuentedeprrafopredeter"/>
    <w:uiPriority w:val="99"/>
    <w:unhideWhenUsed/>
    <w:rsid w:val="00B40ED0"/>
    <w:rPr>
      <w:color w:val="467886" w:themeColor="hyperlink"/>
      <w:u w:val="single"/>
    </w:rPr>
  </w:style>
  <w:style w:type="character" w:styleId="Mencinsinresolver">
    <w:name w:val="Unresolved Mention"/>
    <w:basedOn w:val="Fuentedeprrafopredeter"/>
    <w:uiPriority w:val="99"/>
    <w:semiHidden/>
    <w:unhideWhenUsed/>
    <w:rsid w:val="00B40ED0"/>
    <w:rPr>
      <w:color w:val="605E5C"/>
      <w:shd w:val="clear" w:color="auto" w:fill="E1DFDD"/>
    </w:rPr>
  </w:style>
  <w:style w:type="paragraph" w:styleId="Encabezado">
    <w:name w:val="header"/>
    <w:basedOn w:val="Normal"/>
    <w:link w:val="EncabezadoCar"/>
    <w:uiPriority w:val="99"/>
    <w:unhideWhenUsed/>
    <w:rsid w:val="004B67F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B67F1"/>
  </w:style>
  <w:style w:type="paragraph" w:styleId="Piedepgina">
    <w:name w:val="footer"/>
    <w:basedOn w:val="Normal"/>
    <w:link w:val="PiedepginaCar"/>
    <w:uiPriority w:val="99"/>
    <w:unhideWhenUsed/>
    <w:rsid w:val="004B67F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B67F1"/>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c5b613-762a-4b15-ac19-3f880b990c85" xsi:nil="true"/>
    <lcf76f155ced4ddcb4097134ff3c332f xmlns="739ffe1b-33ab-4047-b276-b47d9546e03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DE6156EF4B26E4BBABB69EE838FAF55" ma:contentTypeVersion="14" ma:contentTypeDescription="Crear nuevo documento." ma:contentTypeScope="" ma:versionID="d45b4657e963fdb8daf6eaf87ee4d470">
  <xsd:schema xmlns:xsd="http://www.w3.org/2001/XMLSchema" xmlns:xs="http://www.w3.org/2001/XMLSchema" xmlns:p="http://schemas.microsoft.com/office/2006/metadata/properties" xmlns:ns2="739ffe1b-33ab-4047-b276-b47d9546e034" xmlns:ns3="05c5b613-762a-4b15-ac19-3f880b990c85" targetNamespace="http://schemas.microsoft.com/office/2006/metadata/properties" ma:root="true" ma:fieldsID="af4beac9309545817694d0829863c73f" ns2:_="" ns3:_="">
    <xsd:import namespace="739ffe1b-33ab-4047-b276-b47d9546e034"/>
    <xsd:import namespace="05c5b613-762a-4b15-ac19-3f880b990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ffe1b-33ab-4047-b276-b47d9546e0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8d204fa-6c57-4ed6-bc91-93595ac1d6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c5b613-762a-4b15-ac19-3f880b990c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a74ba9-1b21-4b32-9716-d70cf173d390}" ma:internalName="TaxCatchAll" ma:showField="CatchAllData" ma:web="05c5b613-762a-4b15-ac19-3f880b990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58A31-13D0-446A-A034-B2A488C310D3}">
  <ds:schemaRefs>
    <ds:schemaRef ds:uri="http://schemas.microsoft.com/office/2006/metadata/properties"/>
    <ds:schemaRef ds:uri="http://schemas.microsoft.com/office/infopath/2007/PartnerControls"/>
    <ds:schemaRef ds:uri="05c5b613-762a-4b15-ac19-3f880b990c85"/>
    <ds:schemaRef ds:uri="739ffe1b-33ab-4047-b276-b47d9546e034"/>
  </ds:schemaRefs>
</ds:datastoreItem>
</file>

<file path=customXml/itemProps2.xml><?xml version="1.0" encoding="utf-8"?>
<ds:datastoreItem xmlns:ds="http://schemas.openxmlformats.org/officeDocument/2006/customXml" ds:itemID="{A5903D61-0F21-4172-A350-F5E691385B0C}">
  <ds:schemaRefs>
    <ds:schemaRef ds:uri="http://schemas.openxmlformats.org/officeDocument/2006/bibliography"/>
  </ds:schemaRefs>
</ds:datastoreItem>
</file>

<file path=customXml/itemProps3.xml><?xml version="1.0" encoding="utf-8"?>
<ds:datastoreItem xmlns:ds="http://schemas.openxmlformats.org/officeDocument/2006/customXml" ds:itemID="{D4BF7591-3257-4716-BA6D-CE91F21B6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ffe1b-33ab-4047-b276-b47d9546e034"/>
    <ds:schemaRef ds:uri="05c5b613-762a-4b15-ac19-3f880b990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D40CFB-2377-4D0C-88E3-2E69AB36E5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7253</Words>
  <Characters>39894</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 Miguel Ruesga Benito</dc:creator>
  <cp:lastModifiedBy>Santos Miguel Ruesga Benito</cp:lastModifiedBy>
  <cp:revision>3</cp:revision>
  <cp:lastPrinted>2026-10-10T22:42:00Z</cp:lastPrinted>
  <dcterms:created xsi:type="dcterms:W3CDTF">2026-10-10T21:59:00Z</dcterms:created>
  <dcterms:modified xsi:type="dcterms:W3CDTF">2026-10-10T22:42:00Z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0x010100FDE6156EF4B26E4BBABB69EE838FAF55</vt:lpwstr>
  </property>
  <property fmtid="{D5CDD505-2E9C-101B-9397-08002B2CF9AE}" pid="3" name="GrammarlyDocumentId">
    <vt:lpwstr>1c49f8d5-840a-434e-b03e-6d79caca3570</vt:lpwstr>
  </property>
  <property fmtid="{D5CDD505-2E9C-101B-9397-08002B2CF9AE}" pid="4" name="MediaServiceImageTags">
    <vt:lpwstr/>
  </property>
</Properties>
</file>